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62" w:rsidRPr="005115B5" w:rsidRDefault="00D95101" w:rsidP="00D95101">
      <w:pPr>
        <w:spacing w:after="0" w:line="240" w:lineRule="auto"/>
        <w:jc w:val="right"/>
        <w:rPr>
          <w:rFonts w:ascii="Trebuchet MS" w:eastAsia="Times New Roman" w:hAnsi="Trebuchet MS" w:cs="Times New Roman"/>
          <w:b/>
          <w:sz w:val="24"/>
          <w:szCs w:val="24"/>
          <w:u w:val="single"/>
          <w:lang w:eastAsia="bg-BG"/>
        </w:rPr>
      </w:pPr>
      <w:r w:rsidRPr="005115B5">
        <w:rPr>
          <w:rFonts w:ascii="Trebuchet MS" w:eastAsia="Times New Roman" w:hAnsi="Trebuchet MS" w:cs="Times New Roman"/>
          <w:b/>
          <w:sz w:val="24"/>
          <w:szCs w:val="24"/>
          <w:u w:val="single"/>
          <w:lang w:eastAsia="bg-BG"/>
        </w:rPr>
        <w:t>Приложение № 1</w:t>
      </w:r>
    </w:p>
    <w:p w:rsidR="00D95101" w:rsidRPr="00D95101" w:rsidRDefault="00D95101" w:rsidP="00D95101">
      <w:pPr>
        <w:spacing w:after="0" w:line="240" w:lineRule="auto"/>
        <w:jc w:val="right"/>
        <w:rPr>
          <w:rFonts w:ascii="Trebuchet MS" w:eastAsia="Times New Roman" w:hAnsi="Trebuchet MS" w:cs="Times New Roman"/>
          <w:b/>
          <w:sz w:val="24"/>
          <w:szCs w:val="24"/>
          <w:lang w:eastAsia="bg-BG"/>
        </w:rPr>
      </w:pPr>
    </w:p>
    <w:p w:rsidR="00696F62" w:rsidRPr="00696F62" w:rsidRDefault="00696F62" w:rsidP="00696F62">
      <w:pPr>
        <w:spacing w:after="0" w:line="240" w:lineRule="auto"/>
        <w:jc w:val="center"/>
        <w:rPr>
          <w:rFonts w:ascii="Trebuchet MS" w:eastAsia="Times New Roman" w:hAnsi="Trebuchet MS" w:cs="Times New Roman"/>
          <w:b/>
          <w:sz w:val="24"/>
          <w:szCs w:val="24"/>
          <w:u w:val="single"/>
          <w:lang w:eastAsia="bg-BG"/>
        </w:rPr>
      </w:pPr>
      <w:r w:rsidRPr="00696F62">
        <w:rPr>
          <w:rFonts w:ascii="Trebuchet MS" w:eastAsia="Times New Roman" w:hAnsi="Trebuchet MS" w:cs="Times New Roman"/>
          <w:b/>
          <w:sz w:val="24"/>
          <w:szCs w:val="24"/>
          <w:u w:val="single"/>
          <w:lang w:eastAsia="bg-BG"/>
        </w:rPr>
        <w:t>ТЕХНИЧЕСКА СПЕЦИФИКАЦИЯ</w:t>
      </w:r>
    </w:p>
    <w:p w:rsidR="00696F62" w:rsidRPr="00696F62" w:rsidRDefault="00696F62" w:rsidP="00696F62">
      <w:pPr>
        <w:spacing w:after="0" w:line="240" w:lineRule="auto"/>
        <w:jc w:val="center"/>
        <w:rPr>
          <w:rFonts w:ascii="Trebuchet MS" w:eastAsia="Times New Roman" w:hAnsi="Trebuchet MS" w:cs="Times New Roman"/>
          <w:b/>
          <w:sz w:val="24"/>
          <w:szCs w:val="24"/>
          <w:u w:val="single"/>
          <w:lang w:eastAsia="bg-BG"/>
        </w:rPr>
      </w:pPr>
    </w:p>
    <w:p w:rsidR="00696F62" w:rsidRPr="00696F62" w:rsidRDefault="00696F62" w:rsidP="00696F62">
      <w:pPr>
        <w:spacing w:after="0" w:line="240" w:lineRule="auto"/>
        <w:jc w:val="center"/>
        <w:rPr>
          <w:rFonts w:ascii="Trebuchet MS" w:eastAsia="Times New Roman" w:hAnsi="Trebuchet MS" w:cs="Times New Roman"/>
          <w:b/>
          <w:smallCaps/>
          <w:spacing w:val="5"/>
          <w:sz w:val="24"/>
          <w:szCs w:val="24"/>
          <w:lang w:eastAsia="bg-BG"/>
        </w:rPr>
      </w:pPr>
      <w:r w:rsidRPr="00696F62">
        <w:rPr>
          <w:rFonts w:ascii="Trebuchet MS" w:eastAsia="Times New Roman" w:hAnsi="Trebuchet MS" w:cs="Times New Roman"/>
          <w:b/>
          <w:sz w:val="24"/>
          <w:szCs w:val="24"/>
          <w:lang w:eastAsia="bg-BG"/>
        </w:rPr>
        <w:t>В ПРОЦЕДУРА</w:t>
      </w:r>
      <w:r w:rsidRPr="00696F62">
        <w:rPr>
          <w:rFonts w:ascii="Trebuchet MS" w:eastAsia="Times New Roman" w:hAnsi="Trebuchet MS" w:cs="Times New Roman"/>
          <w:b/>
          <w:smallCaps/>
          <w:spacing w:val="5"/>
          <w:sz w:val="24"/>
          <w:szCs w:val="24"/>
          <w:lang w:eastAsia="bg-BG"/>
        </w:rPr>
        <w:t xml:space="preserve"> </w:t>
      </w:r>
      <w:r w:rsidRPr="00696F62">
        <w:rPr>
          <w:rFonts w:ascii="Trebuchet MS" w:eastAsia="Times New Roman" w:hAnsi="Trebuchet MS" w:cs="Times New Roman"/>
          <w:b/>
          <w:sz w:val="24"/>
          <w:szCs w:val="24"/>
          <w:lang w:eastAsia="bg-BG"/>
        </w:rPr>
        <w:t xml:space="preserve">ЗА ВЪЗЛАГАНЕ НА ОБЩЕСТВЕНА ПОРЪЧКА </w:t>
      </w:r>
      <w:r w:rsidRPr="00696F62">
        <w:rPr>
          <w:rFonts w:ascii="Trebuchet MS" w:eastAsia="Times New Roman" w:hAnsi="Trebuchet MS" w:cs="Times New Roman"/>
          <w:b/>
          <w:bCs/>
          <w:sz w:val="24"/>
          <w:szCs w:val="24"/>
          <w:lang w:eastAsia="bg-BG"/>
        </w:rPr>
        <w:t>ЧРЕЗ ОТКРИТА ПРОЦЕДУРА С ПРЕДМЕТ:</w:t>
      </w:r>
    </w:p>
    <w:p w:rsidR="00696F62" w:rsidRPr="00696F62" w:rsidRDefault="00696F62" w:rsidP="00696F62">
      <w:pPr>
        <w:spacing w:after="0" w:line="240" w:lineRule="auto"/>
        <w:rPr>
          <w:rFonts w:ascii="Trebuchet MS" w:eastAsia="Times New Roman" w:hAnsi="Trebuchet MS" w:cs="Times New Roman"/>
          <w:b/>
          <w:bCs/>
          <w:sz w:val="24"/>
          <w:szCs w:val="24"/>
          <w:lang w:eastAsia="bg-BG"/>
        </w:rPr>
      </w:pPr>
    </w:p>
    <w:p w:rsidR="00696F62" w:rsidRPr="00696F62" w:rsidRDefault="00696F62" w:rsidP="00696F62">
      <w:pPr>
        <w:pBdr>
          <w:bottom w:val="single" w:sz="6" w:space="1" w:color="auto"/>
        </w:pBdr>
        <w:tabs>
          <w:tab w:val="left" w:pos="0"/>
        </w:tabs>
        <w:spacing w:after="0" w:line="240" w:lineRule="auto"/>
        <w:jc w:val="center"/>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„РАЗРАБОТВАНЕ НА ПЛАТФОРМА ЗА ЕЛЕКТРОННА ТЪРГОВИЯ”</w:t>
      </w:r>
    </w:p>
    <w:p w:rsidR="00696F62" w:rsidRPr="00696F62" w:rsidRDefault="00696F62" w:rsidP="00696F62">
      <w:pPr>
        <w:pBdr>
          <w:bottom w:val="single" w:sz="6" w:space="1" w:color="auto"/>
        </w:pBdr>
        <w:tabs>
          <w:tab w:val="left" w:pos="0"/>
        </w:tabs>
        <w:spacing w:after="0" w:line="240" w:lineRule="auto"/>
        <w:jc w:val="center"/>
        <w:rPr>
          <w:rFonts w:ascii="Trebuchet MS" w:eastAsia="Times New Roman" w:hAnsi="Trebuchet MS" w:cs="Times New Roman"/>
          <w:b/>
          <w:sz w:val="24"/>
          <w:szCs w:val="24"/>
          <w:lang w:eastAsia="bg-BG"/>
        </w:rPr>
      </w:pPr>
      <w:bookmarkStart w:id="0" w:name="_GoBack"/>
      <w:bookmarkEnd w:id="0"/>
    </w:p>
    <w:p w:rsidR="00696F62" w:rsidRPr="00696F62" w:rsidRDefault="00696F62" w:rsidP="00696F62">
      <w:pPr>
        <w:tabs>
          <w:tab w:val="left" w:pos="0"/>
        </w:tabs>
        <w:spacing w:after="0" w:line="240" w:lineRule="auto"/>
        <w:jc w:val="center"/>
        <w:rPr>
          <w:rFonts w:ascii="Trebuchet MS" w:eastAsia="Times New Roman" w:hAnsi="Trebuchet MS" w:cs="Times New Roman"/>
          <w:sz w:val="24"/>
          <w:szCs w:val="24"/>
          <w:lang w:eastAsia="bg-BG"/>
        </w:rPr>
      </w:pPr>
    </w:p>
    <w:p w:rsidR="00696F62" w:rsidRPr="00696F62" w:rsidRDefault="00696F62" w:rsidP="00696F62">
      <w:pPr>
        <w:tabs>
          <w:tab w:val="left" w:pos="0"/>
        </w:tabs>
        <w:spacing w:after="0" w:line="240" w:lineRule="auto"/>
        <w:jc w:val="center"/>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По проект „</w:t>
      </w:r>
      <w:proofErr w:type="spellStart"/>
      <w:r w:rsidRPr="00696F62">
        <w:rPr>
          <w:rFonts w:ascii="Trebuchet MS" w:eastAsia="Times New Roman" w:hAnsi="Trebuchet MS" w:cs="Times New Roman"/>
          <w:sz w:val="24"/>
          <w:szCs w:val="24"/>
          <w:lang w:eastAsia="bg-BG"/>
        </w:rPr>
        <w:t>FairDeal</w:t>
      </w:r>
      <w:proofErr w:type="spellEnd"/>
      <w:r w:rsidRPr="00696F62">
        <w:rPr>
          <w:rFonts w:ascii="Trebuchet MS" w:eastAsia="Times New Roman" w:hAnsi="Trebuchet MS" w:cs="Times New Roman"/>
          <w:sz w:val="24"/>
          <w:szCs w:val="24"/>
          <w:lang w:eastAsia="bg-BG"/>
        </w:rPr>
        <w:t xml:space="preserve"> – мрежа - платформа за бърза доставка на уникални занаятчийски продукти в района на трансграничното сътрудничество”, финансиран по Програма за трансгранично сътрудничество INTERREG V-A Румъния-България 2014-2020 г. </w:t>
      </w:r>
      <w:r w:rsidRPr="00696F62">
        <w:rPr>
          <w:rFonts w:ascii="Trebuchet MS" w:eastAsia="Times New Roman" w:hAnsi="Trebuchet MS" w:cs="Times New Roman"/>
          <w:sz w:val="24"/>
          <w:szCs w:val="24"/>
          <w:lang w:eastAsia="bg-BG"/>
        </w:rPr>
        <w:br/>
        <w:t>Проектен код: 16.4.2.106, е-MS код: ROBG204</w:t>
      </w:r>
    </w:p>
    <w:p w:rsidR="00696F62" w:rsidRPr="00696F62" w:rsidRDefault="00696F62" w:rsidP="00696F62">
      <w:pPr>
        <w:spacing w:after="0" w:line="240" w:lineRule="auto"/>
        <w:jc w:val="center"/>
        <w:rPr>
          <w:rFonts w:ascii="Trebuchet MS" w:eastAsia="Times New Roman" w:hAnsi="Trebuchet MS" w:cs="Times New Roman"/>
          <w:b/>
          <w:sz w:val="24"/>
          <w:szCs w:val="24"/>
          <w:u w:val="single"/>
          <w:lang w:eastAsia="bg-BG"/>
        </w:rPr>
      </w:pPr>
    </w:p>
    <w:p w:rsidR="00696F62" w:rsidRPr="0074560D" w:rsidRDefault="00696F62" w:rsidP="0074560D">
      <w:pPr>
        <w:spacing w:after="0" w:line="240" w:lineRule="auto"/>
        <w:rPr>
          <w:rFonts w:ascii="Trebuchet MS" w:eastAsia="Times New Roman" w:hAnsi="Trebuchet MS" w:cs="Times New Roman"/>
          <w:b/>
          <w:sz w:val="24"/>
          <w:szCs w:val="24"/>
          <w:u w:val="single"/>
          <w:lang w:val="en-US" w:eastAsia="bg-BG"/>
        </w:rPr>
      </w:pPr>
    </w:p>
    <w:p w:rsidR="00696F62" w:rsidRPr="00696F62" w:rsidRDefault="00696F62" w:rsidP="00696F62">
      <w:pPr>
        <w:spacing w:after="0" w:line="240" w:lineRule="auto"/>
        <w:jc w:val="both"/>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Дейностите по проекта се вписват в Приоритетна ос 4: Квалифициран и приобщаващ регион Специфична цел 4.1: Насърчаване на интеграцията в трансграничния регион по отношение на заетостта и трудовата мобилност.</w:t>
      </w:r>
    </w:p>
    <w:p w:rsidR="00696F62" w:rsidRPr="00696F62" w:rsidRDefault="00696F62" w:rsidP="00696F62">
      <w:pPr>
        <w:spacing w:after="0" w:line="240" w:lineRule="auto"/>
        <w:ind w:firstLine="720"/>
        <w:rPr>
          <w:rFonts w:ascii="Trebuchet MS" w:eastAsia="Times New Roman" w:hAnsi="Trebuchet MS" w:cs="Times New Roman"/>
          <w:b/>
          <w:sz w:val="24"/>
          <w:szCs w:val="24"/>
          <w:u w:val="single"/>
          <w:lang w:eastAsia="bg-BG"/>
        </w:rPr>
      </w:pPr>
    </w:p>
    <w:p w:rsidR="00696F62" w:rsidRPr="00696F62" w:rsidRDefault="00696F62" w:rsidP="00696F62">
      <w:pPr>
        <w:numPr>
          <w:ilvl w:val="0"/>
          <w:numId w:val="6"/>
        </w:numPr>
        <w:spacing w:after="0" w:line="240" w:lineRule="auto"/>
        <w:ind w:left="567" w:hanging="491"/>
        <w:contextualSpacing/>
        <w:rPr>
          <w:rFonts w:ascii="Trebuchet MS" w:eastAsia="Calibri" w:hAnsi="Trebuchet MS" w:cs="Times New Roman"/>
          <w:b/>
          <w:sz w:val="24"/>
          <w:szCs w:val="24"/>
          <w:lang w:eastAsia="bg-BG"/>
        </w:rPr>
      </w:pPr>
      <w:r w:rsidRPr="00696F62">
        <w:rPr>
          <w:rFonts w:ascii="Trebuchet MS" w:eastAsia="Calibri" w:hAnsi="Trebuchet MS" w:cs="Times New Roman"/>
          <w:b/>
          <w:sz w:val="24"/>
          <w:szCs w:val="24"/>
          <w:lang w:eastAsia="bg-BG"/>
        </w:rPr>
        <w:t>ОПИСАНИЕ НА ПРОЕКТА</w:t>
      </w:r>
    </w:p>
    <w:p w:rsidR="00696F62" w:rsidRPr="00696F62" w:rsidRDefault="00696F62" w:rsidP="00696F62">
      <w:pPr>
        <w:spacing w:after="0" w:line="240" w:lineRule="auto"/>
        <w:ind w:left="720"/>
        <w:rPr>
          <w:rFonts w:ascii="Trebuchet MS" w:eastAsia="Calibri" w:hAnsi="Trebuchet MS" w:cs="Times New Roman"/>
          <w:b/>
          <w:sz w:val="24"/>
          <w:szCs w:val="24"/>
          <w:lang w:eastAsia="bg-BG"/>
        </w:rPr>
      </w:pPr>
    </w:p>
    <w:p w:rsidR="00696F62" w:rsidRPr="00696F62" w:rsidRDefault="00696F62" w:rsidP="00696F62">
      <w:pPr>
        <w:shd w:val="clear" w:color="auto" w:fill="A6A6A6"/>
        <w:spacing w:before="120" w:after="80" w:line="240" w:lineRule="auto"/>
        <w:ind w:firstLine="72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    КРАТКО ОПИСАНИЕ НА ПРОЕКТНОТО ПРЕДЛОЖЕНИЕ</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Част от проект FairDeal е разработване на софтуерно решение за онлайн търговия на местни занаятчийски продукти, с цел създаване на устойчив и ефективен пазар на труда в трансграничния регион.</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Надграждайки традиционни дейности, в проекта са заложени дейности, касаещи увеличи ефективността в търговските отношения, създаване на нови работни места, подобряване на благосъстоянието, създаване на мрежа в рамките на общността, осигуряваща устойчива експлоатация на софтуерната платформа.</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 xml:space="preserve">Проектът ще допринесе за постигане целите на Програма </w:t>
      </w:r>
      <w:r w:rsidRPr="00696F62">
        <w:rPr>
          <w:rFonts w:ascii="Trebuchet MS" w:eastAsia="Times New Roman" w:hAnsi="Trebuchet MS" w:cs="Times New Roman"/>
          <w:sz w:val="24"/>
          <w:szCs w:val="24"/>
          <w:lang w:eastAsia="bg-BG"/>
        </w:rPr>
        <w:t>INTERREG</w:t>
      </w:r>
      <w:r w:rsidRPr="00696F62">
        <w:rPr>
          <w:rFonts w:ascii="Trebuchet MS" w:eastAsia="Times New Roman" w:hAnsi="Trebuchet MS" w:cs="Times New Roman"/>
          <w:sz w:val="24"/>
          <w:szCs w:val="24"/>
          <w:lang w:eastAsia="bg-BG"/>
        </w:rPr>
        <w:br/>
        <w:t xml:space="preserve">V-A Румъния-България 2014-2020 </w:t>
      </w:r>
      <w:r w:rsidRPr="00696F62">
        <w:rPr>
          <w:rFonts w:ascii="Trebuchet MS" w:eastAsia="Times New Roman" w:hAnsi="Trebuchet MS" w:cs="Times New Roman"/>
          <w:noProof/>
          <w:sz w:val="24"/>
          <w:szCs w:val="24"/>
          <w:lang w:eastAsia="bg-BG"/>
        </w:rPr>
        <w:t>за насърчаване на иновации, които действат като двигател на предприемачеството и осигуряват качествена и устойчива заетост в региона.</w:t>
      </w:r>
    </w:p>
    <w:p w:rsidR="00696F62" w:rsidRPr="00696F62" w:rsidRDefault="00696F62" w:rsidP="00696F62">
      <w:pPr>
        <w:spacing w:after="0" w:line="240" w:lineRule="auto"/>
        <w:ind w:firstLine="720"/>
        <w:jc w:val="both"/>
        <w:rPr>
          <w:rFonts w:ascii="Trebuchet MS" w:eastAsia="Times New Roman" w:hAnsi="Trebuchet MS" w:cs="Times New Roman"/>
          <w:noProof/>
          <w:sz w:val="24"/>
          <w:szCs w:val="24"/>
          <w:lang w:eastAsia="bg-BG"/>
        </w:rPr>
      </w:pPr>
    </w:p>
    <w:p w:rsidR="00696F62" w:rsidRPr="00696F62" w:rsidRDefault="00696F62" w:rsidP="00696F62">
      <w:pPr>
        <w:spacing w:after="0" w:line="240" w:lineRule="auto"/>
        <w:ind w:firstLine="720"/>
        <w:jc w:val="both"/>
        <w:rPr>
          <w:rFonts w:ascii="Trebuchet MS" w:eastAsia="Times New Roman" w:hAnsi="Trebuchet MS" w:cs="Times New Roman"/>
          <w:noProof/>
          <w:sz w:val="24"/>
          <w:szCs w:val="24"/>
          <w:lang w:eastAsia="bg-BG"/>
        </w:rPr>
      </w:pPr>
    </w:p>
    <w:p w:rsidR="00696F62" w:rsidRPr="00696F62" w:rsidRDefault="00696F62" w:rsidP="00696F62">
      <w:pPr>
        <w:shd w:val="clear" w:color="auto" w:fill="A6A6A6"/>
        <w:spacing w:before="120" w:after="80" w:line="240" w:lineRule="auto"/>
        <w:ind w:firstLine="72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  ЦЕЛИ, РЕЗУЛТАТИ И БЕНЕФИЦИЕРИ НА ПРОЕКТА</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Основна цел на проектното предложение е създаване на нови икономически възможности за заетост и развитие на предприемачеството в трансграничния регион, чрез разработване на софтуерно решение за онлайн маркетинг за местни продукти. Платформата има за цел увеличаване на творческия потенциал на местни занаятчии, оптимизиране на веригата за доставка до крайни потребители.</w:t>
      </w:r>
    </w:p>
    <w:p w:rsidR="00696F62" w:rsidRPr="00696F62" w:rsidRDefault="00696F62" w:rsidP="00696F62">
      <w:pPr>
        <w:spacing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Такива процеси следва да оптимизират традиционния бизнес модел и подобрят интеграцията на пазара на труда в трансграничния регион, с цел разширяване възможностите за трудова мобилност и надомна работа в региона, допринасяйки за включване в пазара на труда на уязвими групи, включително младежи, жени и </w:t>
      </w:r>
      <w:proofErr w:type="spellStart"/>
      <w:r w:rsidRPr="00696F62">
        <w:rPr>
          <w:rFonts w:ascii="Trebuchet MS" w:eastAsia="Times New Roman" w:hAnsi="Trebuchet MS" w:cs="Times New Roman"/>
          <w:sz w:val="24"/>
          <w:szCs w:val="24"/>
          <w:lang w:eastAsia="bg-BG"/>
        </w:rPr>
        <w:t>маргинализирани</w:t>
      </w:r>
      <w:proofErr w:type="spellEnd"/>
      <w:r w:rsidRPr="00696F62">
        <w:rPr>
          <w:rFonts w:ascii="Trebuchet MS" w:eastAsia="Times New Roman" w:hAnsi="Trebuchet MS" w:cs="Times New Roman"/>
          <w:sz w:val="24"/>
          <w:szCs w:val="24"/>
          <w:lang w:eastAsia="bg-BG"/>
        </w:rPr>
        <w:t xml:space="preserve"> групи.</w:t>
      </w:r>
    </w:p>
    <w:p w:rsidR="00696F62" w:rsidRPr="00696F62" w:rsidRDefault="00696F62" w:rsidP="00696F62">
      <w:pPr>
        <w:spacing w:after="0" w:line="240" w:lineRule="auto"/>
        <w:jc w:val="both"/>
        <w:rPr>
          <w:rFonts w:ascii="Trebuchet MS" w:eastAsia="Times New Roman" w:hAnsi="Trebuchet MS" w:cs="Times New Roman"/>
          <w:sz w:val="24"/>
          <w:szCs w:val="24"/>
          <w:lang w:eastAsia="bg-BG"/>
        </w:rPr>
      </w:pPr>
    </w:p>
    <w:p w:rsidR="00696F62" w:rsidRPr="00696F62" w:rsidRDefault="00696F62" w:rsidP="00696F62">
      <w:pPr>
        <w:spacing w:before="60" w:after="0" w:line="240" w:lineRule="auto"/>
        <w:jc w:val="both"/>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Резултати:</w:t>
      </w:r>
    </w:p>
    <w:p w:rsidR="00696F62" w:rsidRPr="00D95101" w:rsidRDefault="00696F62" w:rsidP="00D95101">
      <w:pPr>
        <w:numPr>
          <w:ilvl w:val="0"/>
          <w:numId w:val="4"/>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Софтуерна платформа за онлайн търговия на местни занаятчийски продукти.</w:t>
      </w:r>
    </w:p>
    <w:p w:rsidR="00696F62" w:rsidRPr="00696F62" w:rsidRDefault="00696F62" w:rsidP="00696F62">
      <w:pPr>
        <w:spacing w:before="60" w:after="0" w:line="240" w:lineRule="auto"/>
        <w:jc w:val="both"/>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Целеви групи:</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Местни занаятчии (български и румънски - от трансграничния регион), търсещи възможност за предлагане на своите продукти на международно ниво, с цел осигуряване на висок дял добавена стойност;</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Неправителствени организации и образователни/обучителни институции, насърчаващи занаяти и местно културно наследство в прилежащия регион;</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Безработни хора;</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Хора, търсещи възможности за смяна на работата си;</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Уязвими групи от населението на трансграничния регион, търсещи надомна работа;</w:t>
      </w:r>
    </w:p>
    <w:p w:rsidR="00696F62" w:rsidRPr="00696F62" w:rsidRDefault="00696F62" w:rsidP="00696F62">
      <w:pPr>
        <w:numPr>
          <w:ilvl w:val="0"/>
          <w:numId w:val="5"/>
        </w:numPr>
        <w:spacing w:before="60"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Хора, търсещи работа на непълно и/или гъвкаво работно време;</w:t>
      </w:r>
    </w:p>
    <w:p w:rsidR="00696F62" w:rsidRPr="0074560D" w:rsidRDefault="00696F62" w:rsidP="0074560D">
      <w:pPr>
        <w:numPr>
          <w:ilvl w:val="0"/>
          <w:numId w:val="5"/>
        </w:numPr>
        <w:spacing w:after="0" w:line="240" w:lineRule="auto"/>
        <w:contextualSpacing/>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sz w:val="24"/>
          <w:szCs w:val="24"/>
          <w:lang w:eastAsia="bg-BG"/>
        </w:rPr>
        <w:t>Местни власти/общности, търсещи механизми за стимулиране на младежка заетост, трудова мобилност, включване в пазара на труда на категории от населението в неравностойно положение, подпом</w:t>
      </w:r>
      <w:r w:rsidR="0074560D">
        <w:rPr>
          <w:rFonts w:ascii="Trebuchet MS" w:eastAsia="Times New Roman" w:hAnsi="Trebuchet MS" w:cs="Times New Roman"/>
          <w:sz w:val="24"/>
          <w:szCs w:val="24"/>
          <w:lang w:eastAsia="bg-BG"/>
        </w:rPr>
        <w:t>агане на трайно безработни лица</w:t>
      </w:r>
    </w:p>
    <w:p w:rsidR="00696F62" w:rsidRPr="00696F62" w:rsidRDefault="00696F62" w:rsidP="00696F62">
      <w:pPr>
        <w:spacing w:after="0" w:line="240" w:lineRule="auto"/>
        <w:ind w:firstLine="720"/>
        <w:jc w:val="both"/>
        <w:rPr>
          <w:rFonts w:ascii="Trebuchet MS" w:eastAsia="Times New Roman" w:hAnsi="Trebuchet MS" w:cs="Times New Roman"/>
          <w:noProof/>
          <w:sz w:val="24"/>
          <w:szCs w:val="24"/>
          <w:lang w:eastAsia="bg-BG"/>
        </w:rPr>
      </w:pPr>
    </w:p>
    <w:p w:rsidR="00696F62" w:rsidRPr="00696F62" w:rsidRDefault="00696F62" w:rsidP="00696F62">
      <w:pPr>
        <w:shd w:val="clear" w:color="auto" w:fill="A6A6A6"/>
        <w:spacing w:before="120" w:after="80" w:line="240" w:lineRule="auto"/>
        <w:ind w:firstLine="72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  ПАРТНЬОРИ ПО ПРОЕКТА</w:t>
      </w:r>
    </w:p>
    <w:p w:rsidR="00696F62" w:rsidRPr="00696F62" w:rsidRDefault="00696F62" w:rsidP="00696F62">
      <w:pPr>
        <w:spacing w:after="0" w:line="240" w:lineRule="auto"/>
        <w:ind w:firstLine="90"/>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Водещ партньор: Община Велико Търново (ВT), България</w:t>
      </w:r>
    </w:p>
    <w:p w:rsidR="00696F62" w:rsidRPr="00696F62" w:rsidRDefault="00696F62" w:rsidP="00696F62">
      <w:pPr>
        <w:spacing w:after="0" w:line="240" w:lineRule="auto"/>
        <w:ind w:firstLine="90"/>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Партньор: Сдружение </w:t>
      </w:r>
      <w:proofErr w:type="spellStart"/>
      <w:r w:rsidRPr="00696F62">
        <w:rPr>
          <w:rFonts w:ascii="Trebuchet MS" w:eastAsia="Times New Roman" w:hAnsi="Trebuchet MS" w:cs="Times New Roman"/>
          <w:sz w:val="24"/>
          <w:szCs w:val="24"/>
          <w:lang w:eastAsia="bg-BG"/>
        </w:rPr>
        <w:t>Диманш</w:t>
      </w:r>
      <w:proofErr w:type="spellEnd"/>
      <w:r w:rsidRPr="00696F62">
        <w:rPr>
          <w:rFonts w:ascii="Trebuchet MS" w:eastAsia="Times New Roman" w:hAnsi="Trebuchet MS" w:cs="Times New Roman"/>
          <w:sz w:val="24"/>
          <w:szCs w:val="24"/>
          <w:lang w:eastAsia="bg-BG"/>
        </w:rPr>
        <w:t>, Румъния</w:t>
      </w:r>
    </w:p>
    <w:p w:rsidR="00696F62" w:rsidRPr="00696F62" w:rsidRDefault="00696F62" w:rsidP="00696F62">
      <w:pPr>
        <w:spacing w:after="0" w:line="240" w:lineRule="auto"/>
        <w:ind w:firstLine="90"/>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Партньор: Двустранна Търговска Камара България-Румъния (ДТКБР), България</w:t>
      </w:r>
    </w:p>
    <w:p w:rsidR="00696F62" w:rsidRPr="00696F62" w:rsidRDefault="00696F62" w:rsidP="00696F62">
      <w:pPr>
        <w:spacing w:after="0" w:line="240" w:lineRule="auto"/>
        <w:ind w:firstLine="90"/>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lastRenderedPageBreak/>
        <w:t xml:space="preserve">Партньор: Народен театър "Марин </w:t>
      </w:r>
      <w:proofErr w:type="spellStart"/>
      <w:r w:rsidRPr="00696F62">
        <w:rPr>
          <w:rFonts w:ascii="Trebuchet MS" w:eastAsia="Times New Roman" w:hAnsi="Trebuchet MS" w:cs="Times New Roman"/>
          <w:sz w:val="24"/>
          <w:szCs w:val="24"/>
          <w:lang w:eastAsia="bg-BG"/>
        </w:rPr>
        <w:t>Сореску</w:t>
      </w:r>
      <w:proofErr w:type="spellEnd"/>
      <w:r w:rsidRPr="00696F62">
        <w:rPr>
          <w:rFonts w:ascii="Trebuchet MS" w:eastAsia="Times New Roman" w:hAnsi="Trebuchet MS" w:cs="Times New Roman"/>
          <w:sz w:val="24"/>
          <w:szCs w:val="24"/>
          <w:lang w:eastAsia="bg-BG"/>
        </w:rPr>
        <w:t>", Крайова, Румъния</w:t>
      </w:r>
    </w:p>
    <w:p w:rsidR="00696F62" w:rsidRPr="00696F62" w:rsidRDefault="00696F62" w:rsidP="00696F62">
      <w:pPr>
        <w:spacing w:after="0" w:line="240" w:lineRule="auto"/>
        <w:ind w:firstLine="90"/>
        <w:jc w:val="both"/>
        <w:rPr>
          <w:rFonts w:ascii="Trebuchet MS" w:eastAsia="Times New Roman" w:hAnsi="Trebuchet MS" w:cs="Times New Roman"/>
          <w:sz w:val="24"/>
          <w:szCs w:val="24"/>
          <w:lang w:eastAsia="bg-BG"/>
        </w:rPr>
      </w:pPr>
    </w:p>
    <w:p w:rsidR="00696F62" w:rsidRPr="00696F62" w:rsidRDefault="00696F62" w:rsidP="00696F62">
      <w:pPr>
        <w:shd w:val="clear" w:color="auto" w:fill="A6A6A6"/>
        <w:spacing w:before="120" w:after="80" w:line="240" w:lineRule="auto"/>
        <w:ind w:firstLine="72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ТЕХНИЧЕСКА СПЕЦИФИКАЦИЯ НА ДЕЙНОСТИТЕ </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В рамките на дефиниране на прилежащите дейности, следва да бъде разработена, тествана и внедрена софтуерна платформа за електронна търговия,</w:t>
      </w:r>
      <w:r w:rsidRPr="00696F62">
        <w:rPr>
          <w:rFonts w:ascii="Trebuchet MS" w:eastAsia="Times New Roman" w:hAnsi="Trebuchet MS" w:cs="Times New Roman"/>
          <w:sz w:val="24"/>
          <w:szCs w:val="24"/>
          <w:lang w:val="en-US" w:eastAsia="bg-BG"/>
        </w:rPr>
        <w:t xml:space="preserve"> </w:t>
      </w:r>
      <w:r w:rsidRPr="00696F62">
        <w:rPr>
          <w:rFonts w:ascii="Trebuchet MS" w:eastAsia="Times New Roman" w:hAnsi="Trebuchet MS" w:cs="Times New Roman"/>
          <w:sz w:val="24"/>
          <w:szCs w:val="24"/>
          <w:lang w:eastAsia="bg-BG"/>
        </w:rPr>
        <w:t xml:space="preserve">с цел предлагане на </w:t>
      </w:r>
      <w:r w:rsidR="0074560D">
        <w:rPr>
          <w:rFonts w:ascii="Trebuchet MS" w:eastAsia="Times New Roman" w:hAnsi="Trebuchet MS" w:cs="Times New Roman"/>
          <w:sz w:val="24"/>
          <w:szCs w:val="24"/>
          <w:lang w:eastAsia="bg-BG"/>
        </w:rPr>
        <w:t xml:space="preserve">уникални </w:t>
      </w:r>
      <w:r w:rsidRPr="00696F62">
        <w:rPr>
          <w:rFonts w:ascii="Trebuchet MS" w:eastAsia="Times New Roman" w:hAnsi="Trebuchet MS" w:cs="Times New Roman"/>
          <w:sz w:val="24"/>
          <w:szCs w:val="24"/>
          <w:lang w:eastAsia="bg-BG"/>
        </w:rPr>
        <w:t>занаятчийски продукти и услуги от заинтересов</w:t>
      </w:r>
      <w:r w:rsidR="0074560D">
        <w:rPr>
          <w:rFonts w:ascii="Trebuchet MS" w:eastAsia="Times New Roman" w:hAnsi="Trebuchet MS" w:cs="Times New Roman"/>
          <w:sz w:val="24"/>
          <w:szCs w:val="24"/>
          <w:lang w:eastAsia="bg-BG"/>
        </w:rPr>
        <w:t xml:space="preserve">ани малки и средни предприятия и </w:t>
      </w:r>
      <w:r w:rsidRPr="00696F62">
        <w:rPr>
          <w:rFonts w:ascii="Trebuchet MS" w:eastAsia="Times New Roman" w:hAnsi="Trebuchet MS" w:cs="Times New Roman"/>
          <w:sz w:val="24"/>
          <w:szCs w:val="24"/>
          <w:lang w:eastAsia="bg-BG"/>
        </w:rPr>
        <w:t>занаятчии от трансграничния регион.</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Софтуерната платформа следва да предоставя възможност за управление на</w:t>
      </w:r>
      <w:r w:rsidRPr="00696F62">
        <w:rPr>
          <w:rFonts w:ascii="Trebuchet MS" w:eastAsia="Times New Roman" w:hAnsi="Trebuchet MS" w:cs="Times New Roman"/>
          <w:sz w:val="24"/>
          <w:szCs w:val="24"/>
          <w:lang w:val="en-US" w:eastAsia="bg-BG"/>
        </w:rPr>
        <w:t xml:space="preserve"> </w:t>
      </w:r>
      <w:r w:rsidRPr="00696F62">
        <w:rPr>
          <w:rFonts w:ascii="Trebuchet MS" w:eastAsia="Times New Roman" w:hAnsi="Trebuchet MS" w:cs="Times New Roman"/>
          <w:sz w:val="24"/>
          <w:szCs w:val="24"/>
          <w:lang w:eastAsia="bg-BG"/>
        </w:rPr>
        <w:t>електронни покупки</w:t>
      </w:r>
      <w:r w:rsidRPr="00696F62">
        <w:rPr>
          <w:rFonts w:ascii="Trebuchet MS" w:eastAsia="Times New Roman" w:hAnsi="Trebuchet MS" w:cs="Times New Roman"/>
          <w:sz w:val="24"/>
          <w:szCs w:val="24"/>
          <w:lang w:val="en-US" w:eastAsia="bg-BG"/>
        </w:rPr>
        <w:t xml:space="preserve"> </w:t>
      </w:r>
      <w:r w:rsidRPr="00696F62">
        <w:rPr>
          <w:rFonts w:ascii="Trebuchet MS" w:eastAsia="Times New Roman" w:hAnsi="Trebuchet MS" w:cs="Times New Roman"/>
          <w:sz w:val="24"/>
          <w:szCs w:val="24"/>
          <w:lang w:eastAsia="bg-BG"/>
        </w:rPr>
        <w:t>за своите клиенти,</w:t>
      </w:r>
      <w:r w:rsidRPr="00696F62">
        <w:rPr>
          <w:rFonts w:ascii="Trebuchet MS" w:eastAsia="Times New Roman" w:hAnsi="Trebuchet MS" w:cs="Times New Roman"/>
          <w:sz w:val="24"/>
          <w:szCs w:val="24"/>
          <w:lang w:val="en-US" w:eastAsia="bg-BG"/>
        </w:rPr>
        <w:t xml:space="preserve"> </w:t>
      </w:r>
      <w:r w:rsidRPr="00696F62">
        <w:rPr>
          <w:rFonts w:ascii="Trebuchet MS" w:eastAsia="Times New Roman" w:hAnsi="Trebuchet MS" w:cs="Times New Roman"/>
          <w:sz w:val="24"/>
          <w:szCs w:val="24"/>
          <w:lang w:eastAsia="bg-BG"/>
        </w:rPr>
        <w:t>с цел предоставяне на различни възможности за плащане на избрани продукти, улесняване на купувачи и продавачи: малки и средни предприятия</w:t>
      </w:r>
      <w:r w:rsidR="0074560D">
        <w:rPr>
          <w:rFonts w:ascii="Trebuchet MS" w:eastAsia="Times New Roman" w:hAnsi="Trebuchet MS" w:cs="Times New Roman"/>
          <w:sz w:val="24"/>
          <w:szCs w:val="24"/>
          <w:lang w:eastAsia="bg-BG"/>
        </w:rPr>
        <w:t xml:space="preserve"> и</w:t>
      </w:r>
      <w:r w:rsidRPr="00696F62">
        <w:rPr>
          <w:rFonts w:ascii="Trebuchet MS" w:eastAsia="Times New Roman" w:hAnsi="Trebuchet MS" w:cs="Times New Roman"/>
          <w:sz w:val="24"/>
          <w:szCs w:val="24"/>
          <w:lang w:eastAsia="bg-BG"/>
        </w:rPr>
        <w:t xml:space="preserve"> местни занаятчии.</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Следва да бъде представен</w:t>
      </w:r>
      <w:r w:rsidRPr="00696F62">
        <w:rPr>
          <w:rFonts w:ascii="Trebuchet MS" w:eastAsia="Times New Roman" w:hAnsi="Trebuchet MS" w:cs="Times New Roman"/>
          <w:sz w:val="24"/>
          <w:szCs w:val="24"/>
          <w:lang w:val="en-US" w:eastAsia="bg-BG"/>
        </w:rPr>
        <w:t>а</w:t>
      </w:r>
      <w:r w:rsidRPr="00696F62">
        <w:rPr>
          <w:rFonts w:ascii="Trebuchet MS" w:eastAsia="Times New Roman" w:hAnsi="Trebuchet MS" w:cs="Times New Roman"/>
          <w:sz w:val="24"/>
          <w:szCs w:val="24"/>
          <w:lang w:eastAsia="bg-BG"/>
        </w:rPr>
        <w:t xml:space="preserve"> възможност за реализация на повече от един платежен метод, в това число опция за имплементиране на функционалности чрез плащания от тип </w:t>
      </w:r>
      <w:r w:rsidRPr="00696F62">
        <w:rPr>
          <w:rFonts w:ascii="Trebuchet MS" w:eastAsia="Times New Roman" w:hAnsi="Trebuchet MS" w:cs="Times New Roman"/>
          <w:sz w:val="24"/>
          <w:szCs w:val="24"/>
          <w:lang w:val="en-US" w:eastAsia="bg-BG"/>
        </w:rPr>
        <w:t xml:space="preserve">PayPal </w:t>
      </w:r>
      <w:r w:rsidRPr="00696F62">
        <w:rPr>
          <w:rFonts w:ascii="Trebuchet MS" w:eastAsia="Times New Roman" w:hAnsi="Trebuchet MS" w:cs="Times New Roman"/>
          <w:sz w:val="24"/>
          <w:szCs w:val="24"/>
          <w:lang w:eastAsia="bg-BG"/>
        </w:rPr>
        <w:t xml:space="preserve">и </w:t>
      </w:r>
      <w:proofErr w:type="spellStart"/>
      <w:r w:rsidRPr="00696F62">
        <w:rPr>
          <w:rFonts w:ascii="Trebuchet MS" w:eastAsia="Times New Roman" w:hAnsi="Trebuchet MS" w:cs="Times New Roman"/>
          <w:sz w:val="24"/>
          <w:szCs w:val="24"/>
          <w:lang w:val="en-US" w:eastAsia="bg-BG"/>
        </w:rPr>
        <w:t>ePay</w:t>
      </w:r>
      <w:proofErr w:type="spellEnd"/>
      <w:r w:rsidRPr="00696F62">
        <w:rPr>
          <w:rFonts w:ascii="Trebuchet MS" w:eastAsia="Times New Roman" w:hAnsi="Trebuchet MS" w:cs="Times New Roman"/>
          <w:sz w:val="24"/>
          <w:szCs w:val="24"/>
          <w:lang w:eastAsia="bg-BG"/>
        </w:rPr>
        <w:t>. В хода на реализиране на софтуерното решение, фаза анализ, следва да бъдат определени избраните платежни методи и съответни платежни оператори.</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Един от основните елементи е техническо изпълнение на функционалности за електронни плащания, като Възложителят следва да управлява свързаната регистрация и легитимност пред съответните институции.</w:t>
      </w:r>
    </w:p>
    <w:p w:rsidR="00696F62" w:rsidRPr="00696F62" w:rsidRDefault="00696F62" w:rsidP="00696F62">
      <w:pPr>
        <w:spacing w:before="60" w:after="0" w:line="240" w:lineRule="auto"/>
        <w:ind w:firstLine="720"/>
        <w:jc w:val="both"/>
        <w:rPr>
          <w:rFonts w:ascii="Trebuchet MS" w:eastAsia="Times New Roman" w:hAnsi="Trebuchet MS" w:cs="Times New Roman"/>
          <w:sz w:val="24"/>
          <w:szCs w:val="24"/>
          <w:lang w:eastAsia="bg-BG"/>
        </w:rPr>
      </w:pPr>
    </w:p>
    <w:p w:rsidR="00696F62" w:rsidRPr="00696F62" w:rsidRDefault="00696F62" w:rsidP="00696F62">
      <w:pPr>
        <w:numPr>
          <w:ilvl w:val="0"/>
          <w:numId w:val="6"/>
        </w:numPr>
        <w:shd w:val="clear" w:color="auto" w:fill="FFFFFF"/>
        <w:spacing w:before="60" w:after="0" w:line="240" w:lineRule="auto"/>
        <w:ind w:left="851"/>
        <w:contextualSpacing/>
        <w:jc w:val="both"/>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ДЕЙНОСТИ ПО РАЗРАБОТВАНЕ И ДОСТАВКА НА СОФТУЕРНА ПЛАТФОРМА</w:t>
      </w:r>
    </w:p>
    <w:p w:rsidR="00696F62" w:rsidRPr="00696F62" w:rsidRDefault="00696F62" w:rsidP="00696F62">
      <w:pPr>
        <w:shd w:val="clear" w:color="auto" w:fill="A6A6A6"/>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ОСНОВНИ ФУНКЦИОНАЛНОСТИ НА </w:t>
      </w:r>
      <w:r w:rsidRPr="00696F62">
        <w:rPr>
          <w:rFonts w:ascii="Trebuchet MS" w:eastAsia="Times New Roman" w:hAnsi="Trebuchet MS" w:cs="Times New Roman"/>
          <w:b/>
          <w:sz w:val="24"/>
          <w:szCs w:val="24"/>
          <w:shd w:val="clear" w:color="auto" w:fill="A6A6A6"/>
          <w:lang w:eastAsia="bg-BG"/>
        </w:rPr>
        <w:t>СОФТУЕРНАТА ПЛАТФОРМА</w:t>
      </w:r>
    </w:p>
    <w:p w:rsidR="00696F62" w:rsidRPr="00696F62" w:rsidRDefault="00696F62" w:rsidP="00696F62">
      <w:pPr>
        <w:jc w:val="both"/>
        <w:rPr>
          <w:rFonts w:ascii="Trebuchet MS" w:eastAsia="Calibri" w:hAnsi="Trebuchet MS" w:cs="Times New Roman"/>
          <w:sz w:val="24"/>
          <w:szCs w:val="24"/>
        </w:rPr>
      </w:pPr>
      <w:r w:rsidRPr="00696F62">
        <w:rPr>
          <w:rFonts w:ascii="Trebuchet MS" w:eastAsia="Calibri" w:hAnsi="Trebuchet MS" w:cs="Times New Roman"/>
          <w:sz w:val="24"/>
          <w:szCs w:val="24"/>
        </w:rPr>
        <w:t>Софтуерната платформа следва да осигурява следните основни функционалности:</w:t>
      </w:r>
    </w:p>
    <w:p w:rsidR="00696F62" w:rsidRPr="00696F62" w:rsidRDefault="00696F62" w:rsidP="00696F62">
      <w:pPr>
        <w:numPr>
          <w:ilvl w:val="0"/>
          <w:numId w:val="7"/>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Администрация на системата: административен интерфейс, реализиращ управлението на системата на глобално ниво и на ниво отделен процес, включително контрол на потребители; доставчици; продукти; поръчки и др. Административните процеси следва да осигуряват функционално наблюдение на работата на системите; основни показатели и справки; администрация спрямо заложените процеси и възможности, в зависимост от реализираните функционални модули;</w:t>
      </w:r>
    </w:p>
    <w:p w:rsidR="00696F62" w:rsidRPr="00696F62" w:rsidRDefault="00696F62" w:rsidP="00696F62">
      <w:pPr>
        <w:numPr>
          <w:ilvl w:val="0"/>
          <w:numId w:val="7"/>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 xml:space="preserve">Справки и отчети: платформата следва да предоставя възможност за генериране на справки и отчети по основни показатели за платформата, посредством административен интерфейс, включително данни за поръчки; </w:t>
      </w:r>
      <w:r w:rsidRPr="00696F62">
        <w:rPr>
          <w:rFonts w:ascii="Trebuchet MS" w:eastAsia="Calibri" w:hAnsi="Trebuchet MS" w:cs="Times New Roman"/>
          <w:sz w:val="24"/>
          <w:szCs w:val="24"/>
        </w:rPr>
        <w:lastRenderedPageBreak/>
        <w:t xml:space="preserve">продукти; плащания и други основни обекти, на база избрани параметри. Следва да бъдат използвани данни, предоставени на база система и модули, и/или други системи и модули, вътрешни или външни за системата, и/или осигурени от тях механизми, предоставяне на справки във формат, позволяващ </w:t>
      </w:r>
      <w:proofErr w:type="spellStart"/>
      <w:r w:rsidRPr="00696F62">
        <w:rPr>
          <w:rFonts w:ascii="Trebuchet MS" w:eastAsia="Calibri" w:hAnsi="Trebuchet MS" w:cs="Times New Roman"/>
          <w:sz w:val="24"/>
          <w:szCs w:val="24"/>
        </w:rPr>
        <w:t>последващ</w:t>
      </w:r>
      <w:proofErr w:type="spellEnd"/>
      <w:r w:rsidRPr="00696F62">
        <w:rPr>
          <w:rFonts w:ascii="Trebuchet MS" w:eastAsia="Calibri" w:hAnsi="Trebuchet MS" w:cs="Times New Roman"/>
          <w:sz w:val="24"/>
          <w:szCs w:val="24"/>
        </w:rPr>
        <w:t xml:space="preserve"> анализ;</w:t>
      </w:r>
    </w:p>
    <w:p w:rsidR="00696F62" w:rsidRPr="00696F62" w:rsidRDefault="00696F62" w:rsidP="00696F62">
      <w:pPr>
        <w:numPr>
          <w:ilvl w:val="0"/>
          <w:numId w:val="7"/>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 xml:space="preserve">Модул за управление на потребителски профили: </w:t>
      </w:r>
      <w:proofErr w:type="spellStart"/>
      <w:r w:rsidRPr="00696F62">
        <w:rPr>
          <w:rFonts w:ascii="Trebuchet MS" w:eastAsia="Calibri" w:hAnsi="Trebuchet MS" w:cs="Times New Roman"/>
          <w:sz w:val="24"/>
          <w:szCs w:val="24"/>
        </w:rPr>
        <w:t>backend</w:t>
      </w:r>
      <w:proofErr w:type="spellEnd"/>
      <w:r w:rsidRPr="00696F62">
        <w:rPr>
          <w:rFonts w:ascii="Trebuchet MS" w:eastAsia="Calibri" w:hAnsi="Trebuchet MS" w:cs="Times New Roman"/>
          <w:sz w:val="24"/>
          <w:szCs w:val="24"/>
        </w:rPr>
        <w:t xml:space="preserve"> модул, с цел създаване; променяне; архивиране на потребителски профили, със съответни права и роли. В модула следва да бъдат заложени съответни полета за профили в системата, включително минимални задължителни данни и изисквания за структура; дължина; сложност. По време на детайлизация на конкретни изисквания, следва да бъдат дефинирани и евентуални допълнителни изисквания, ако са приложими, като регистрация на сертификат за достъп.</w:t>
      </w:r>
    </w:p>
    <w:p w:rsidR="00696F62" w:rsidRPr="00696F62" w:rsidRDefault="00696F62" w:rsidP="00696F62">
      <w:pPr>
        <w:spacing w:after="0" w:line="240" w:lineRule="auto"/>
        <w:ind w:left="90"/>
        <w:jc w:val="both"/>
        <w:rPr>
          <w:rFonts w:ascii="Trebuchet MS" w:eastAsia="Calibri" w:hAnsi="Trebuchet MS" w:cs="Times New Roman"/>
          <w:sz w:val="24"/>
          <w:szCs w:val="24"/>
        </w:rPr>
      </w:pPr>
    </w:p>
    <w:p w:rsidR="00696F62" w:rsidRPr="00696F62" w:rsidRDefault="00696F62" w:rsidP="00696F62">
      <w:p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Следва да бъдат дефинирани допълнителни специфични данни, в зависимост от тип потребител:</w:t>
      </w:r>
    </w:p>
    <w:p w:rsidR="00696F62" w:rsidRPr="00696F62" w:rsidRDefault="00696F62" w:rsidP="00696F62">
      <w:pPr>
        <w:numPr>
          <w:ilvl w:val="0"/>
          <w:numId w:val="8"/>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клиент: адреси за доставка при покупка, адрес и данни за фактуриране, ако същите са необходими;</w:t>
      </w:r>
    </w:p>
    <w:p w:rsidR="00696F62" w:rsidRPr="00696F62" w:rsidRDefault="00696F62" w:rsidP="00696F62">
      <w:pPr>
        <w:numPr>
          <w:ilvl w:val="0"/>
          <w:numId w:val="8"/>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доставчик: основни реквизити за всеки търговец: ЕИК/БУЛСТАТ; адрес на седалище и управление; адрес за кореспонденция, включително телефон, факс и др., където е приложимо; регистрация по ДДС; данни за издаване на фактура и др.; данни за банкова сметка; друга информация относно плащания; адреси, от които може да бъде получена съответната покупка, ако съответния доставчик поддържа подобен адрес.</w:t>
      </w:r>
    </w:p>
    <w:p w:rsidR="00696F62" w:rsidRPr="00696F62" w:rsidRDefault="00696F62" w:rsidP="00696F62">
      <w:pPr>
        <w:spacing w:after="0" w:line="240" w:lineRule="auto"/>
        <w:ind w:left="720"/>
        <w:contextualSpacing/>
        <w:jc w:val="both"/>
        <w:rPr>
          <w:rFonts w:ascii="Trebuchet MS" w:eastAsia="Calibri" w:hAnsi="Trebuchet MS" w:cs="Times New Roman"/>
          <w:sz w:val="24"/>
          <w:szCs w:val="24"/>
        </w:rPr>
      </w:pP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Потребителски данни и информация в профила следва да осигуряват възможност за пълна интеграция с всички останали модули, имащи отношение към потребителски данни, с цел единност и </w:t>
      </w:r>
      <w:proofErr w:type="spellStart"/>
      <w:r w:rsidRPr="00696F62">
        <w:rPr>
          <w:rFonts w:ascii="Trebuchet MS" w:eastAsia="Times New Roman" w:hAnsi="Trebuchet MS" w:cs="Times New Roman"/>
          <w:sz w:val="24"/>
          <w:szCs w:val="24"/>
          <w:lang w:eastAsia="bg-BG"/>
        </w:rPr>
        <w:t>консистентност</w:t>
      </w:r>
      <w:proofErr w:type="spellEnd"/>
      <w:r w:rsidRPr="00696F62">
        <w:rPr>
          <w:rFonts w:ascii="Trebuchet MS" w:eastAsia="Times New Roman" w:hAnsi="Trebuchet MS" w:cs="Times New Roman"/>
          <w:sz w:val="24"/>
          <w:szCs w:val="24"/>
          <w:lang w:eastAsia="bg-BG"/>
        </w:rPr>
        <w:t xml:space="preserve"> на данни. Потребителския профил следва да представя данни за статус на поръчки; история на продажби; продукти; наличности и др.</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Следва да бъдат предвидени следните функционалности:</w:t>
      </w:r>
    </w:p>
    <w:p w:rsidR="00696F62" w:rsidRPr="00696F62" w:rsidRDefault="00696F62" w:rsidP="00696F62">
      <w:pPr>
        <w:numPr>
          <w:ilvl w:val="0"/>
          <w:numId w:val="9"/>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доставчици: платформата следва да предостави функционалност за конфигурация на доставчици, по отношение на възможност за извършване на продажби и плащания</w:t>
      </w:r>
      <w:r w:rsidRPr="00696F62">
        <w:rPr>
          <w:rFonts w:ascii="Trebuchet MS" w:eastAsia="Calibri" w:hAnsi="Trebuchet MS" w:cs="Times New Roman"/>
          <w:sz w:val="24"/>
          <w:szCs w:val="24"/>
          <w:lang w:val="en-US"/>
        </w:rPr>
        <w:t xml:space="preserve"> </w:t>
      </w:r>
      <w:r w:rsidRPr="00696F62">
        <w:rPr>
          <w:rFonts w:ascii="Trebuchet MS" w:eastAsia="Calibri" w:hAnsi="Trebuchet MS" w:cs="Times New Roman"/>
          <w:sz w:val="24"/>
          <w:szCs w:val="24"/>
        </w:rPr>
        <w:t>и методи</w:t>
      </w:r>
      <w:r w:rsidRPr="00696F62">
        <w:rPr>
          <w:rFonts w:ascii="Trebuchet MS" w:eastAsia="Calibri" w:hAnsi="Trebuchet MS" w:cs="Times New Roman"/>
          <w:sz w:val="24"/>
          <w:szCs w:val="24"/>
          <w:lang w:val="en-US"/>
        </w:rPr>
        <w:t xml:space="preserve">: </w:t>
      </w:r>
      <w:r w:rsidRPr="00696F62">
        <w:rPr>
          <w:rFonts w:ascii="Trebuchet MS" w:eastAsia="Calibri" w:hAnsi="Trebuchet MS" w:cs="Times New Roman"/>
          <w:sz w:val="24"/>
          <w:szCs w:val="24"/>
        </w:rPr>
        <w:t xml:space="preserve">чрез банков превод; наложен платеж; </w:t>
      </w:r>
      <w:r w:rsidRPr="00696F62">
        <w:rPr>
          <w:rFonts w:ascii="Trebuchet MS" w:eastAsia="Calibri" w:hAnsi="Trebuchet MS" w:cs="Times New Roman"/>
          <w:sz w:val="24"/>
          <w:szCs w:val="24"/>
          <w:lang w:val="en-US"/>
        </w:rPr>
        <w:t>PayPal</w:t>
      </w:r>
      <w:r w:rsidRPr="00696F62">
        <w:rPr>
          <w:rFonts w:ascii="Trebuchet MS" w:eastAsia="Calibri" w:hAnsi="Trebuchet MS" w:cs="Times New Roman"/>
          <w:sz w:val="24"/>
          <w:szCs w:val="24"/>
        </w:rPr>
        <w:t>; банкова карта, в тяхна полза през платформата, за които носят отговорност съответните страни по сделката.</w:t>
      </w:r>
    </w:p>
    <w:p w:rsidR="00696F62" w:rsidRPr="00696F62" w:rsidRDefault="00696F62" w:rsidP="00696F62">
      <w:pPr>
        <w:numPr>
          <w:ilvl w:val="0"/>
          <w:numId w:val="9"/>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lastRenderedPageBreak/>
        <w:t>Търсене: следва да бъде предоставена възможност за търсене в платформата, като търсенето следва да бъде „просто“ и „разширено“. При първия вид търсене потребителите следва да имат възможност за търсене на определен ресурс по ключова дума или словосъчетание. При разширено търсене на потребители, следва да бъде предложена функционалност за заявка по различни опции, налични като информация в платформата: търсене по име на продукт; на доставчик; в описание; параметри и др.</w:t>
      </w:r>
    </w:p>
    <w:p w:rsidR="00696F62" w:rsidRPr="00696F62" w:rsidRDefault="00696F62" w:rsidP="00696F62">
      <w:pPr>
        <w:numPr>
          <w:ilvl w:val="0"/>
          <w:numId w:val="9"/>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съобщения, уведомления и обратна връзка: платформата следва да предоставя възможности за съобщения, уведомления и обратна връзка; системни уведомления; комуникация между купувачи/клиенти; продавачи/доставчици, и обратна връзка.</w:t>
      </w:r>
    </w:p>
    <w:p w:rsidR="00696F62" w:rsidRPr="00696F62" w:rsidRDefault="00696F62" w:rsidP="00696F62">
      <w:pPr>
        <w:numPr>
          <w:ilvl w:val="0"/>
          <w:numId w:val="9"/>
        </w:numPr>
        <w:spacing w:after="0" w:line="240" w:lineRule="auto"/>
        <w:contextualSpacing/>
        <w:jc w:val="both"/>
        <w:rPr>
          <w:rFonts w:ascii="Trebuchet MS" w:eastAsia="Calibri" w:hAnsi="Trebuchet MS" w:cs="Times New Roman"/>
          <w:sz w:val="24"/>
          <w:szCs w:val="24"/>
        </w:rPr>
      </w:pPr>
      <w:r w:rsidRPr="00696F62">
        <w:rPr>
          <w:rFonts w:ascii="Trebuchet MS" w:eastAsia="Calibri" w:hAnsi="Trebuchet MS" w:cs="Times New Roman"/>
          <w:sz w:val="24"/>
          <w:szCs w:val="24"/>
        </w:rPr>
        <w:t>Търговски модул: платформата следва да осигурява функционалности, свързани с процеси по предоставени услуги за представяне на продукти и търговия, като:</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категории: платформата следва да предоставя възможност за управление на категории продукти, които се предлагат през електронната платформа, с функционалност по създаване и управление на различни категории и под категории продукти, описание и др.</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продукти/каталози от продукти: платформата следва да предоставя функционалност за управление на продукти/каталози с продукти, с възможности за въвеждане и управление на въведени продукти/продуктови каталози: попълване на информация от страна на съотве</w:t>
      </w:r>
      <w:r w:rsidR="0074560D">
        <w:rPr>
          <w:rFonts w:ascii="Trebuchet MS" w:eastAsia="Calibri" w:hAnsi="Trebuchet MS" w:cs="Times New Roman"/>
          <w:sz w:val="24"/>
          <w:szCs w:val="24"/>
        </w:rPr>
        <w:t xml:space="preserve">тните потребители: доставчици - </w:t>
      </w:r>
      <w:r w:rsidRPr="00696F62">
        <w:rPr>
          <w:rFonts w:ascii="Trebuchet MS" w:eastAsia="Calibri" w:hAnsi="Trebuchet MS" w:cs="Times New Roman"/>
          <w:sz w:val="24"/>
          <w:szCs w:val="24"/>
        </w:rPr>
        <w:t>занаятчии /административни служители, поединично за всеки продукт или множество продукти/каталог от продукти, ако такава опция е налична.</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поръчки: платформата следва да осигури възможност за проследяване и управление на поръчки. Наред със стандартната информация, като вид продукти, брой продукти, на каква цена и др., в настоящия процес следва да е включен начин за плащане и доставка. Цялостният процес по реализация на поръчка/сделка следва да включва потвърждение на вид и брой артикули; избор/въвеждане на адрес за доставка и данни за фактуриране, ако са необходими; избор/въвеждане начин на плащане, реализиране на функционалности за извършване на плащане, в зависимост от избрания метод на плащане; доставка на поръчка.</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lastRenderedPageBreak/>
        <w:t>Приключване на покупката: платформата следва да предостави възможност за приключване на сделки, като процесът започва от избрани продукти и преминава през: избор на акаунт, от който да бъде извършена съответна покупка, в случай, че потребителят не е „влязъл“ в собствения си акаунт, желае да извърши покупката без регистрация - като „гост“, или с друг потребителски акаунт, освен в случай, че предварителния вход е задължителен или съобразно дефиниран процес във фаза анализ; въвеждане или потвърждаване, в случай, че са предварително въведени данни, необходими за извършване на покупка – адрес на доставка, или потвърждение, че обекта на покупката следва да бъде взет от адрес на търговеца; адрес и данни за фактуриране, ако такова е необходимо.</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Предявяване на претенции/рекламации: платформата следва да предоставя възможност на потребителите да предявяват рекламации, по отношение качествата на даден продукт. Освен при търговеца, функционалността следва да бъде налична в платформата, с оглед идентифициране на некоректни търговци и реакция от страна на собственика на платформата.</w:t>
      </w:r>
    </w:p>
    <w:p w:rsidR="00696F62" w:rsidRPr="00D95101" w:rsidRDefault="00696F62" w:rsidP="00D95101">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Електронен</w:t>
      </w:r>
      <w:r w:rsidRPr="00696F62">
        <w:rPr>
          <w:rFonts w:ascii="Trebuchet MS" w:eastAsia="Calibri" w:hAnsi="Trebuchet MS" w:cs="Times New Roman"/>
          <w:strike/>
          <w:sz w:val="24"/>
          <w:szCs w:val="24"/>
        </w:rPr>
        <w:t xml:space="preserve"> </w:t>
      </w:r>
      <w:r w:rsidRPr="00696F62">
        <w:rPr>
          <w:rFonts w:ascii="Trebuchet MS" w:eastAsia="Calibri" w:hAnsi="Trebuchet MS" w:cs="Times New Roman"/>
          <w:sz w:val="24"/>
          <w:szCs w:val="24"/>
        </w:rPr>
        <w:t xml:space="preserve">платежен модул: </w:t>
      </w:r>
      <w:proofErr w:type="spellStart"/>
      <w:r w:rsidRPr="00696F62">
        <w:rPr>
          <w:rFonts w:ascii="Trebuchet MS" w:eastAsia="Calibri" w:hAnsi="Trebuchet MS" w:cs="Times New Roman"/>
          <w:sz w:val="24"/>
          <w:szCs w:val="24"/>
        </w:rPr>
        <w:t>модул</w:t>
      </w:r>
      <w:proofErr w:type="spellEnd"/>
      <w:r w:rsidRPr="00696F62">
        <w:rPr>
          <w:rFonts w:ascii="Trebuchet MS" w:eastAsia="Calibri" w:hAnsi="Trebuchet MS" w:cs="Times New Roman"/>
          <w:sz w:val="24"/>
          <w:szCs w:val="24"/>
        </w:rPr>
        <w:t xml:space="preserve">/система, осигуряваща възможност за интеграция на различни платежни оператори: </w:t>
      </w:r>
      <w:r w:rsidRPr="00696F62">
        <w:rPr>
          <w:rFonts w:ascii="Trebuchet MS" w:eastAsia="Calibri" w:hAnsi="Trebuchet MS" w:cs="Times New Roman"/>
          <w:sz w:val="24"/>
          <w:szCs w:val="24"/>
          <w:lang w:val="en-US"/>
        </w:rPr>
        <w:t xml:space="preserve">PayPal, </w:t>
      </w:r>
      <w:proofErr w:type="spellStart"/>
      <w:r w:rsidRPr="00696F62">
        <w:rPr>
          <w:rFonts w:ascii="Trebuchet MS" w:eastAsia="Calibri" w:hAnsi="Trebuchet MS" w:cs="Times New Roman"/>
          <w:sz w:val="24"/>
          <w:szCs w:val="24"/>
          <w:lang w:val="en-US"/>
        </w:rPr>
        <w:t>ePay</w:t>
      </w:r>
      <w:proofErr w:type="spellEnd"/>
      <w:r w:rsidRPr="00696F62">
        <w:rPr>
          <w:rFonts w:ascii="Trebuchet MS" w:eastAsia="Calibri" w:hAnsi="Trebuchet MS" w:cs="Times New Roman"/>
          <w:sz w:val="24"/>
          <w:szCs w:val="24"/>
          <w:lang w:val="en-US"/>
        </w:rPr>
        <w:t xml:space="preserve">, </w:t>
      </w:r>
      <w:r w:rsidRPr="00696F62">
        <w:rPr>
          <w:rFonts w:ascii="Trebuchet MS" w:eastAsia="Calibri" w:hAnsi="Trebuchet MS" w:cs="Times New Roman"/>
          <w:sz w:val="24"/>
          <w:szCs w:val="24"/>
        </w:rPr>
        <w:t>картови плащания, поддръжка на различни платежни методи и инструменти (в зависимост от начините на плащане, избрани между двете страни на търговската сделка извън юрисдикцията на системата); обслужва платежни операции; журнал на всички плащания. Следва да бъде предоставена концепция за реализация на платежни услуги; възможни методи и инструменти; интеграции с платежни оператори; механизъм за конфигуриране на нови доставчици и други.</w:t>
      </w:r>
    </w:p>
    <w:p w:rsidR="00696F62" w:rsidRPr="00696F62" w:rsidRDefault="00696F62" w:rsidP="00696F62">
      <w:pPr>
        <w:spacing w:after="0" w:line="240" w:lineRule="auto"/>
        <w:ind w:left="720"/>
        <w:jc w:val="both"/>
        <w:rPr>
          <w:rFonts w:ascii="Trebuchet MS" w:eastAsia="Calibri" w:hAnsi="Trebuchet MS" w:cs="Times New Roman"/>
          <w:sz w:val="24"/>
          <w:szCs w:val="24"/>
          <w:highlight w:val="yellow"/>
        </w:rPr>
      </w:pPr>
    </w:p>
    <w:p w:rsidR="00696F62" w:rsidRPr="00696F62" w:rsidRDefault="00696F62" w:rsidP="00696F62">
      <w:pPr>
        <w:spacing w:after="0" w:line="240" w:lineRule="auto"/>
        <w:ind w:left="720"/>
        <w:jc w:val="both"/>
        <w:rPr>
          <w:rFonts w:ascii="Trebuchet MS" w:eastAsia="Calibri" w:hAnsi="Trebuchet MS" w:cs="Times New Roman"/>
          <w:sz w:val="24"/>
          <w:szCs w:val="24"/>
        </w:rPr>
      </w:pPr>
      <w:r w:rsidRPr="00696F62">
        <w:rPr>
          <w:rFonts w:ascii="Trebuchet MS" w:eastAsia="Calibri" w:hAnsi="Trebuchet MS" w:cs="Times New Roman"/>
          <w:sz w:val="24"/>
          <w:szCs w:val="24"/>
        </w:rPr>
        <w:t>Основни, обслужвани от модула функционалности, следва да са:</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платежни оператори, методи/инструменти: за различни платежни методи и инструменти следва да се поддържат съответните приложими функционалности, като регистрация, изтриване, зареждане, изтегляне, в зависимост от съответния метод/инструмент.</w:t>
      </w:r>
    </w:p>
    <w:p w:rsidR="00696F62" w:rsidRPr="00696F62" w:rsidRDefault="00696F62" w:rsidP="00696F62">
      <w:pPr>
        <w:numPr>
          <w:ilvl w:val="1"/>
          <w:numId w:val="3"/>
        </w:numPr>
        <w:spacing w:after="0" w:line="240" w:lineRule="auto"/>
        <w:jc w:val="both"/>
        <w:rPr>
          <w:rFonts w:ascii="Trebuchet MS" w:eastAsia="Calibri" w:hAnsi="Trebuchet MS" w:cs="Times New Roman"/>
          <w:strike/>
          <w:sz w:val="24"/>
          <w:szCs w:val="24"/>
        </w:rPr>
      </w:pPr>
      <w:r w:rsidRPr="00696F62">
        <w:rPr>
          <w:rFonts w:ascii="Trebuchet MS" w:eastAsia="Calibri" w:hAnsi="Trebuchet MS" w:cs="Times New Roman"/>
          <w:sz w:val="24"/>
          <w:szCs w:val="24"/>
        </w:rPr>
        <w:t xml:space="preserve">Извършване на разплащания: модулът следва да реализира управлението на разплащания/транзакции. </w:t>
      </w:r>
    </w:p>
    <w:p w:rsidR="00696F62" w:rsidRPr="00696F62" w:rsidRDefault="00696F62" w:rsidP="00696F62">
      <w:pPr>
        <w:numPr>
          <w:ilvl w:val="1"/>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lastRenderedPageBreak/>
        <w:t xml:space="preserve">Журнал на плащания: модулът следва да осигури </w:t>
      </w:r>
      <w:proofErr w:type="spellStart"/>
      <w:r w:rsidRPr="00696F62">
        <w:rPr>
          <w:rFonts w:ascii="Trebuchet MS" w:eastAsia="Calibri" w:hAnsi="Trebuchet MS" w:cs="Times New Roman"/>
          <w:sz w:val="24"/>
          <w:szCs w:val="24"/>
        </w:rPr>
        <w:t>проследимост</w:t>
      </w:r>
      <w:proofErr w:type="spellEnd"/>
      <w:r w:rsidRPr="00696F62">
        <w:rPr>
          <w:rFonts w:ascii="Trebuchet MS" w:eastAsia="Calibri" w:hAnsi="Trebuchet MS" w:cs="Times New Roman"/>
          <w:sz w:val="24"/>
          <w:szCs w:val="24"/>
        </w:rPr>
        <w:t xml:space="preserve"> и </w:t>
      </w:r>
      <w:proofErr w:type="spellStart"/>
      <w:r w:rsidRPr="00696F62">
        <w:rPr>
          <w:rFonts w:ascii="Trebuchet MS" w:eastAsia="Calibri" w:hAnsi="Trebuchet MS" w:cs="Times New Roman"/>
          <w:sz w:val="24"/>
          <w:szCs w:val="24"/>
        </w:rPr>
        <w:t>централизираност</w:t>
      </w:r>
      <w:proofErr w:type="spellEnd"/>
      <w:r w:rsidRPr="00696F62">
        <w:rPr>
          <w:rFonts w:ascii="Trebuchet MS" w:eastAsia="Calibri" w:hAnsi="Trebuchet MS" w:cs="Times New Roman"/>
          <w:sz w:val="24"/>
          <w:szCs w:val="24"/>
        </w:rPr>
        <w:t xml:space="preserve"> на всички плащания и транзакции, независимо от избрания платежен метод и инструмент.</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Управление на обменни курсове: предвид трансграничния характер на потребителите на платформата, същата следва да поддържа опция за задаване на цени и плащания в поне две валути - български лев и румънска лея.</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proofErr w:type="spellStart"/>
      <w:r w:rsidRPr="00696F62">
        <w:rPr>
          <w:rFonts w:ascii="Trebuchet MS" w:eastAsia="Calibri" w:hAnsi="Trebuchet MS" w:cs="Times New Roman"/>
          <w:sz w:val="24"/>
          <w:szCs w:val="24"/>
        </w:rPr>
        <w:t>Мултиезичност</w:t>
      </w:r>
      <w:proofErr w:type="spellEnd"/>
      <w:r w:rsidRPr="00696F62">
        <w:rPr>
          <w:rFonts w:ascii="Trebuchet MS" w:eastAsia="Calibri" w:hAnsi="Trebuchet MS" w:cs="Times New Roman"/>
          <w:sz w:val="24"/>
          <w:szCs w:val="24"/>
        </w:rPr>
        <w:t>: всички функционалности, както и системата като цяло, следва да бъде разработена посредством интерфейс и възможност за работа на минимум три езика: български, румънски и английски език.</w:t>
      </w:r>
    </w:p>
    <w:p w:rsidR="00696F62" w:rsidRPr="00696F62" w:rsidRDefault="00696F62" w:rsidP="00696F62">
      <w:pPr>
        <w:spacing w:after="0" w:line="240" w:lineRule="auto"/>
        <w:ind w:left="720"/>
        <w:jc w:val="both"/>
        <w:rPr>
          <w:rFonts w:ascii="Trebuchet MS" w:eastAsia="Calibri" w:hAnsi="Trebuchet MS" w:cs="Times New Roman"/>
          <w:sz w:val="24"/>
          <w:szCs w:val="24"/>
        </w:rPr>
      </w:pPr>
    </w:p>
    <w:p w:rsidR="00696F62" w:rsidRPr="00696F62" w:rsidRDefault="00696F62" w:rsidP="00696F62">
      <w:pPr>
        <w:numPr>
          <w:ilvl w:val="0"/>
          <w:numId w:val="6"/>
        </w:numPr>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ТЕХНИЧЕСКИ И НЕФУНКЦИОНАЛНИ ИЗИСКВАНИЯ</w:t>
      </w:r>
    </w:p>
    <w:p w:rsidR="00696F62" w:rsidRPr="00696F62" w:rsidRDefault="00696F62" w:rsidP="00696F62">
      <w:pPr>
        <w:keepNext/>
        <w:spacing w:before="240" w:after="240" w:line="240" w:lineRule="auto"/>
        <w:ind w:left="1440" w:hanging="360"/>
        <w:jc w:val="both"/>
        <w:outlineLvl w:val="1"/>
        <w:rPr>
          <w:rFonts w:ascii="Trebuchet MS" w:eastAsia="Times New Roman" w:hAnsi="Trebuchet MS" w:cs="Times New Roman"/>
          <w:b/>
          <w:spacing w:val="20"/>
          <w:sz w:val="24"/>
          <w:szCs w:val="24"/>
          <w:lang w:eastAsia="bg-BG"/>
        </w:rPr>
      </w:pPr>
      <w:bookmarkStart w:id="1" w:name="_Toc503463510"/>
      <w:r w:rsidRPr="00696F62">
        <w:rPr>
          <w:rFonts w:ascii="Trebuchet MS" w:eastAsia="Times New Roman" w:hAnsi="Trebuchet MS" w:cs="Times New Roman"/>
          <w:b/>
          <w:spacing w:val="20"/>
          <w:sz w:val="24"/>
          <w:szCs w:val="24"/>
          <w:lang w:eastAsia="bg-BG"/>
        </w:rPr>
        <w:t>Формиране на изгледи</w:t>
      </w:r>
      <w:bookmarkEnd w:id="1"/>
    </w:p>
    <w:p w:rsidR="00696F62" w:rsidRPr="00696F62" w:rsidRDefault="00696F62" w:rsidP="00696F62">
      <w:pPr>
        <w:spacing w:before="60" w:after="0" w:line="240" w:lineRule="auto"/>
        <w:jc w:val="both"/>
        <w:rPr>
          <w:rFonts w:ascii="Trebuchet MS" w:eastAsia="Arial" w:hAnsi="Trebuchet MS" w:cs="Times New Roman"/>
          <w:color w:val="000000"/>
          <w:sz w:val="24"/>
          <w:szCs w:val="24"/>
        </w:rPr>
      </w:pPr>
      <w:r w:rsidRPr="00696F62">
        <w:rPr>
          <w:rFonts w:ascii="Trebuchet MS" w:eastAsia="Times New Roman" w:hAnsi="Trebuchet MS" w:cs="Times New Roman"/>
          <w:sz w:val="24"/>
          <w:szCs w:val="24"/>
          <w:lang w:eastAsia="bg-BG"/>
        </w:rPr>
        <w:t>Потребителите на платформата следва да могат да формират изгледи, като резултатът следва да бъде представен в зависимост от съответната функционалност чрез:</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Графична визуализация на екран;</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Разпечатване на хартиен носител;</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Експорт на данни в един или в няколко от изброените формати: XLS, PDF, HTML, TXT, XML, CSV.</w:t>
      </w:r>
    </w:p>
    <w:p w:rsidR="00696F62" w:rsidRPr="00696F62" w:rsidRDefault="00696F62" w:rsidP="00696F62">
      <w:pPr>
        <w:keepNext/>
        <w:spacing w:before="240" w:after="240" w:line="240" w:lineRule="auto"/>
        <w:ind w:left="1440" w:hanging="360"/>
        <w:jc w:val="both"/>
        <w:outlineLvl w:val="1"/>
        <w:rPr>
          <w:rFonts w:ascii="Trebuchet MS" w:eastAsia="Calibri" w:hAnsi="Trebuchet MS" w:cs="Times New Roman"/>
          <w:b/>
          <w:spacing w:val="20"/>
          <w:sz w:val="24"/>
          <w:szCs w:val="24"/>
          <w:lang w:eastAsia="bg-BG"/>
        </w:rPr>
      </w:pPr>
      <w:bookmarkStart w:id="2" w:name="_Toc503460458"/>
      <w:bookmarkStart w:id="3" w:name="_Toc503463512"/>
      <w:bookmarkEnd w:id="2"/>
      <w:r w:rsidRPr="00696F62">
        <w:rPr>
          <w:rFonts w:ascii="Trebuchet MS" w:eastAsia="Calibri" w:hAnsi="Trebuchet MS" w:cs="Times New Roman"/>
          <w:b/>
          <w:spacing w:val="20"/>
          <w:sz w:val="24"/>
          <w:szCs w:val="24"/>
          <w:lang w:eastAsia="bg-BG"/>
        </w:rPr>
        <w:t>Авторски права и изходен код</w:t>
      </w:r>
      <w:bookmarkEnd w:id="3"/>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Изходният код (</w:t>
      </w:r>
      <w:proofErr w:type="spellStart"/>
      <w:r w:rsidRPr="00696F62">
        <w:rPr>
          <w:rFonts w:ascii="Trebuchet MS" w:eastAsia="Times New Roman" w:hAnsi="Trebuchet MS" w:cs="Times New Roman"/>
          <w:sz w:val="24"/>
          <w:szCs w:val="24"/>
          <w:lang w:eastAsia="bg-BG"/>
        </w:rPr>
        <w:t>Source</w:t>
      </w:r>
      <w:proofErr w:type="spellEnd"/>
      <w:r w:rsidRPr="00696F62">
        <w:rPr>
          <w:rFonts w:ascii="Trebuchet MS" w:eastAsia="Times New Roman" w:hAnsi="Trebuchet MS" w:cs="Times New Roman"/>
          <w:sz w:val="24"/>
          <w:szCs w:val="24"/>
          <w:lang w:eastAsia="bg-BG"/>
        </w:rPr>
        <w:t xml:space="preserve"> </w:t>
      </w:r>
      <w:proofErr w:type="spellStart"/>
      <w:r w:rsidRPr="00696F62">
        <w:rPr>
          <w:rFonts w:ascii="Trebuchet MS" w:eastAsia="Times New Roman" w:hAnsi="Trebuchet MS" w:cs="Times New Roman"/>
          <w:sz w:val="24"/>
          <w:szCs w:val="24"/>
          <w:lang w:eastAsia="bg-BG"/>
        </w:rPr>
        <w:t>Code</w:t>
      </w:r>
      <w:proofErr w:type="spellEnd"/>
      <w:r w:rsidRPr="00696F62">
        <w:rPr>
          <w:rFonts w:ascii="Trebuchet MS" w:eastAsia="Times New Roman" w:hAnsi="Trebuchet MS" w:cs="Times New Roman"/>
          <w:sz w:val="24"/>
          <w:szCs w:val="24"/>
          <w:lang w:eastAsia="bg-BG"/>
        </w:rPr>
        <w:t>), разработван по проекта, както и цялата техническа документация, следва да бъде предоставена на възложителя.</w:t>
      </w:r>
    </w:p>
    <w:p w:rsidR="00696F62" w:rsidRPr="00696F62" w:rsidRDefault="00696F62" w:rsidP="00696F62">
      <w:pPr>
        <w:spacing w:before="60" w:after="0" w:line="240" w:lineRule="auto"/>
        <w:jc w:val="both"/>
        <w:rPr>
          <w:rFonts w:ascii="Trebuchet MS" w:eastAsia="Calibri" w:hAnsi="Trebuchet MS" w:cs="Times New Roman"/>
          <w:sz w:val="24"/>
          <w:szCs w:val="24"/>
        </w:rPr>
      </w:pPr>
      <w:r w:rsidRPr="00696F62">
        <w:rPr>
          <w:rFonts w:ascii="Trebuchet MS" w:eastAsia="Times New Roman" w:hAnsi="Trebuchet MS" w:cs="Times New Roman"/>
          <w:sz w:val="24"/>
          <w:szCs w:val="24"/>
          <w:lang w:eastAsia="bg-BG"/>
        </w:rPr>
        <w:t>Всички авторски и сродни права върху съответните компютърни програми, техният изходен програмен код, дизайн на интерфейси и бази данни, чиято разработка е предмет на настоящото софтуерно решение, следва да възникват за възложителя в пълен обем, без ограничения в използването, изменението и разпространението им, съгласно чл.58а от Закона за електронното управление.</w:t>
      </w:r>
    </w:p>
    <w:p w:rsidR="00696F62" w:rsidRPr="00696F62" w:rsidRDefault="00696F62" w:rsidP="00696F62">
      <w:pPr>
        <w:keepNext/>
        <w:spacing w:before="240" w:after="240" w:line="240" w:lineRule="auto"/>
        <w:ind w:left="1440" w:hanging="360"/>
        <w:jc w:val="both"/>
        <w:outlineLvl w:val="1"/>
        <w:rPr>
          <w:rFonts w:ascii="Trebuchet MS" w:eastAsia="Calibri" w:hAnsi="Trebuchet MS" w:cs="Times New Roman"/>
          <w:b/>
          <w:spacing w:val="20"/>
          <w:sz w:val="24"/>
          <w:szCs w:val="24"/>
          <w:lang w:eastAsia="bg-BG"/>
        </w:rPr>
      </w:pPr>
      <w:bookmarkStart w:id="4" w:name="_Toc503460460"/>
      <w:bookmarkStart w:id="5" w:name="_Toc503460461"/>
      <w:bookmarkStart w:id="6" w:name="_Toc503460462"/>
      <w:bookmarkStart w:id="7" w:name="_Toc503460463"/>
      <w:bookmarkStart w:id="8" w:name="_Toc503460464"/>
      <w:bookmarkStart w:id="9" w:name="_Toc503460465"/>
      <w:bookmarkStart w:id="10" w:name="_Toc503460466"/>
      <w:bookmarkStart w:id="11" w:name="_Toc503460467"/>
      <w:bookmarkStart w:id="12" w:name="_Toc503460468"/>
      <w:bookmarkStart w:id="13" w:name="_Toc503463513"/>
      <w:bookmarkEnd w:id="4"/>
      <w:bookmarkEnd w:id="5"/>
      <w:bookmarkEnd w:id="6"/>
      <w:bookmarkEnd w:id="7"/>
      <w:bookmarkEnd w:id="8"/>
      <w:bookmarkEnd w:id="9"/>
      <w:bookmarkEnd w:id="10"/>
      <w:bookmarkEnd w:id="11"/>
      <w:bookmarkEnd w:id="12"/>
      <w:r w:rsidRPr="00696F62">
        <w:rPr>
          <w:rFonts w:ascii="Trebuchet MS" w:eastAsia="Calibri" w:hAnsi="Trebuchet MS" w:cs="Times New Roman"/>
          <w:b/>
          <w:spacing w:val="20"/>
          <w:sz w:val="24"/>
          <w:szCs w:val="24"/>
          <w:lang w:eastAsia="bg-BG"/>
        </w:rPr>
        <w:t>Системна и приложна архитектура</w:t>
      </w:r>
      <w:bookmarkEnd w:id="13"/>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Платформата следва да бъде реализирана със стандартни технологии и да поддържа общоприети комуникационни стандарти, гарантиращи съвместимост с </w:t>
      </w:r>
      <w:r w:rsidRPr="00696F62">
        <w:rPr>
          <w:rFonts w:ascii="Trebuchet MS" w:eastAsia="Times New Roman" w:hAnsi="Trebuchet MS" w:cs="Times New Roman"/>
          <w:sz w:val="24"/>
          <w:szCs w:val="24"/>
          <w:lang w:eastAsia="bg-BG"/>
        </w:rPr>
        <w:lastRenderedPageBreak/>
        <w:t>бъдещи разработки. Бизнес процесите и услугите следва да бъдат независимо проектирани, с цел бъдещо надграждане, разширяване и обслужване.</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При разработка, тестване и внедряване на платформата, Изпълнителят следва да прилага наложили се архитектурни (SOA, MVC или еквивалентни) модели и дизайн-шаблони, както и принципи на обектно-ориентирания подход за разработка на софтуерни приложения. Приложните програмни интерфейси следва да поддържат атрибут за версия.</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Архитектурата на платформата и всички софтуерни компоненти (системни и приложни) следва да бъдат така подбрани и/или разработени, че да осигуряват работоспособност и </w:t>
      </w:r>
      <w:proofErr w:type="spellStart"/>
      <w:r w:rsidRPr="00696F62">
        <w:rPr>
          <w:rFonts w:ascii="Trebuchet MS" w:eastAsia="Times New Roman" w:hAnsi="Trebuchet MS" w:cs="Times New Roman"/>
          <w:sz w:val="24"/>
          <w:szCs w:val="24"/>
          <w:lang w:eastAsia="bg-BG"/>
        </w:rPr>
        <w:t>отказоустойчивост</w:t>
      </w:r>
      <w:proofErr w:type="spellEnd"/>
      <w:r w:rsidRPr="00696F62">
        <w:rPr>
          <w:rFonts w:ascii="Trebuchet MS" w:eastAsia="Times New Roman" w:hAnsi="Trebuchet MS" w:cs="Times New Roman"/>
          <w:sz w:val="24"/>
          <w:szCs w:val="24"/>
          <w:lang w:eastAsia="bg-BG"/>
        </w:rPr>
        <w:t xml:space="preserve"> на платформата, както и недискриминационно инсталиране (без различни условия за инсталиране върху физическа и виртуална среда) и опериране в реален режим, върху виртуална инфраструктура.</w:t>
      </w:r>
    </w:p>
    <w:p w:rsidR="00696F62" w:rsidRPr="00696F62" w:rsidRDefault="00696F62" w:rsidP="00696F62">
      <w:pPr>
        <w:keepNext/>
        <w:spacing w:before="240" w:after="240" w:line="240" w:lineRule="auto"/>
        <w:ind w:left="1440" w:hanging="360"/>
        <w:jc w:val="both"/>
        <w:outlineLvl w:val="1"/>
        <w:rPr>
          <w:rFonts w:ascii="Trebuchet MS" w:eastAsia="Calibri" w:hAnsi="Trebuchet MS" w:cs="Times New Roman"/>
          <w:b/>
          <w:spacing w:val="20"/>
          <w:sz w:val="24"/>
          <w:szCs w:val="24"/>
          <w:lang w:eastAsia="bg-BG"/>
        </w:rPr>
      </w:pPr>
      <w:bookmarkStart w:id="14" w:name="_Toc503460470"/>
      <w:bookmarkStart w:id="15" w:name="_Toc503460471"/>
      <w:bookmarkStart w:id="16" w:name="_Toc503460472"/>
      <w:bookmarkStart w:id="17" w:name="_Toc503460473"/>
      <w:bookmarkStart w:id="18" w:name="_Toc503460474"/>
      <w:bookmarkStart w:id="19" w:name="_Toc503460475"/>
      <w:bookmarkStart w:id="20" w:name="_Toc503460476"/>
      <w:bookmarkStart w:id="21" w:name="_Toc503460477"/>
      <w:bookmarkStart w:id="22" w:name="_Toc503460478"/>
      <w:bookmarkStart w:id="23" w:name="_Toc503460479"/>
      <w:bookmarkStart w:id="24" w:name="_Toc503460480"/>
      <w:bookmarkStart w:id="25" w:name="_Toc503460481"/>
      <w:bookmarkStart w:id="26" w:name="_Toc503460482"/>
      <w:bookmarkStart w:id="27" w:name="_Toc503460483"/>
      <w:bookmarkStart w:id="28" w:name="_Toc503460484"/>
      <w:bookmarkStart w:id="29" w:name="_Toc503460485"/>
      <w:bookmarkStart w:id="30" w:name="_Toc503460486"/>
      <w:bookmarkStart w:id="31" w:name="_Toc503460487"/>
      <w:bookmarkStart w:id="32" w:name="_Toc503460488"/>
      <w:bookmarkStart w:id="33" w:name="_Toc503460489"/>
      <w:bookmarkStart w:id="34" w:name="_Toc503460490"/>
      <w:bookmarkStart w:id="35" w:name="_Toc503460491"/>
      <w:bookmarkStart w:id="36" w:name="_Toc503460492"/>
      <w:bookmarkStart w:id="37" w:name="_Toc503460493"/>
      <w:bookmarkStart w:id="38" w:name="_Toc503460494"/>
      <w:bookmarkStart w:id="39" w:name="_Toc503460495"/>
      <w:bookmarkStart w:id="40" w:name="_Toc503460496"/>
      <w:bookmarkStart w:id="41" w:name="_Toc503460497"/>
      <w:bookmarkStart w:id="42" w:name="_Toc503460498"/>
      <w:bookmarkStart w:id="43" w:name="_Toc503460499"/>
      <w:bookmarkStart w:id="44" w:name="_Toc503460500"/>
      <w:bookmarkStart w:id="45" w:name="_Toc503460501"/>
      <w:bookmarkStart w:id="46" w:name="_Toc503460502"/>
      <w:bookmarkStart w:id="47" w:name="_Toc503460503"/>
      <w:bookmarkStart w:id="48" w:name="_Toc503460504"/>
      <w:bookmarkStart w:id="49" w:name="_Toc503460505"/>
      <w:bookmarkStart w:id="50" w:name="_Toc503460506"/>
      <w:bookmarkStart w:id="51" w:name="_Toc503460507"/>
      <w:bookmarkStart w:id="52" w:name="_Toc503460508"/>
      <w:bookmarkStart w:id="53" w:name="_Toc503460509"/>
      <w:bookmarkStart w:id="54" w:name="_Toc503460510"/>
      <w:bookmarkStart w:id="55" w:name="_Toc503460511"/>
      <w:bookmarkStart w:id="56" w:name="_Toc503460512"/>
      <w:bookmarkStart w:id="57" w:name="_Toc503460513"/>
      <w:bookmarkStart w:id="58" w:name="_Toc503460514"/>
      <w:bookmarkStart w:id="59" w:name="_Toc503460515"/>
      <w:bookmarkStart w:id="60" w:name="_Toc503460516"/>
      <w:bookmarkStart w:id="61" w:name="_Toc503460517"/>
      <w:bookmarkStart w:id="62" w:name="_Toc503460518"/>
      <w:bookmarkStart w:id="63" w:name="_Toc503460519"/>
      <w:bookmarkStart w:id="64" w:name="_Toc503460520"/>
      <w:bookmarkStart w:id="65" w:name="_Toc503460521"/>
      <w:bookmarkStart w:id="66" w:name="_Toc503460522"/>
      <w:bookmarkStart w:id="67" w:name="_Toc503460523"/>
      <w:bookmarkStart w:id="68" w:name="_Toc503460524"/>
      <w:bookmarkStart w:id="69" w:name="_Toc503460525"/>
      <w:bookmarkStart w:id="70" w:name="_Toc503460526"/>
      <w:bookmarkStart w:id="71" w:name="_Toc50346351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696F62">
        <w:rPr>
          <w:rFonts w:ascii="Trebuchet MS" w:eastAsia="Calibri" w:hAnsi="Trebuchet MS" w:cs="Times New Roman"/>
          <w:b/>
          <w:spacing w:val="20"/>
          <w:sz w:val="24"/>
          <w:szCs w:val="24"/>
          <w:lang w:eastAsia="bg-BG"/>
        </w:rPr>
        <w:t>Използваемост</w:t>
      </w:r>
      <w:bookmarkEnd w:id="71"/>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Функционалностите на потребителския интерфейс на платформата следва да бъдат независими от използваните от потребителите интернет браузъри и операционни системи/устройства, при условие че последните са версии в период на поддръжка от съответните производители или съответстват на приети изисквания за минимални поддържани версии на браузъри и операционни системи/устройства.</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Следва да бъде осигурен бърз и лесен достъп до електронни услуги и </w:t>
      </w:r>
      <w:proofErr w:type="spellStart"/>
      <w:r w:rsidRPr="00696F62">
        <w:rPr>
          <w:rFonts w:ascii="Trebuchet MS" w:eastAsia="Times New Roman" w:hAnsi="Trebuchet MS" w:cs="Times New Roman"/>
          <w:sz w:val="24"/>
          <w:szCs w:val="24"/>
          <w:lang w:eastAsia="bg-BG"/>
        </w:rPr>
        <w:t>промотиране</w:t>
      </w:r>
      <w:proofErr w:type="spellEnd"/>
      <w:r w:rsidRPr="00696F62">
        <w:rPr>
          <w:rFonts w:ascii="Trebuchet MS" w:eastAsia="Times New Roman" w:hAnsi="Trebuchet MS" w:cs="Times New Roman"/>
          <w:sz w:val="24"/>
          <w:szCs w:val="24"/>
          <w:lang w:eastAsia="bg-BG"/>
        </w:rPr>
        <w:t xml:space="preserve"> с подходящи навигационни елементи на публичната интернет страница – банери, елементи от главното меню и др.</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В екранните форми на платформата следва да бъдат използвани потребителски бутони с унифициран размер и лесни за разбиране текстове в еднакъв стил. Полетата за пароли следва да различават малки и главни букви.</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Наименованията на полетата следва да са достатъчно описателни, като максимално се доближават до характера на съдържащите се в тях данни. Платформата следва да поддържа прекъсване на потребителски сесии при липса на активност.</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Дълги списъци с резултати следва да бъдат разделени на номерирани страници с подходящи навигационни елементи за преминаване към предишна, следваща, първа и последна страница; към конкретна страница. Навигационните елементи следва да бъдат логически обособени и свързани със съответния списък и визуализирани в началото и края на HTML контейнера, съдържащ списъка.</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lastRenderedPageBreak/>
        <w:t xml:space="preserve">Всички публично потребителски интерфейси следва да поддържат </w:t>
      </w:r>
      <w:proofErr w:type="spellStart"/>
      <w:r w:rsidRPr="00696F62">
        <w:rPr>
          <w:rFonts w:ascii="Trebuchet MS" w:eastAsia="Times New Roman" w:hAnsi="Trebuchet MS" w:cs="Times New Roman"/>
          <w:sz w:val="24"/>
          <w:szCs w:val="24"/>
          <w:lang w:eastAsia="bg-BG"/>
        </w:rPr>
        <w:t>многоезичност</w:t>
      </w:r>
      <w:proofErr w:type="spellEnd"/>
      <w:r w:rsidRPr="00696F62">
        <w:rPr>
          <w:rFonts w:ascii="Trebuchet MS" w:eastAsia="Times New Roman" w:hAnsi="Trebuchet MS" w:cs="Times New Roman"/>
          <w:sz w:val="24"/>
          <w:szCs w:val="24"/>
          <w:lang w:eastAsia="bg-BG"/>
        </w:rPr>
        <w:t>: български, румънски и английски език. Преводите на текстовете се предоставят или въвеждат директно в Платформата от Възложителя.</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Публичната част на платформата следва да позволява превключване между работните езици на потребителския интерфейс в реално време от профила на потребителя и от подходящ, видим и лесно достъпен навигационен елемент в горната част на всяка страница, включващ не само текст, но и подходяща интернационална икона за съответния език.</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Достъпът на потребителя до контекстна информация следва да бъде реализиран по унифициран и консистентен начин чрез подходящи навигационни елементи, включващи подходящо разположени </w:t>
      </w:r>
      <w:proofErr w:type="spellStart"/>
      <w:r w:rsidRPr="00696F62">
        <w:rPr>
          <w:rFonts w:ascii="Trebuchet MS" w:eastAsia="Times New Roman" w:hAnsi="Trebuchet MS" w:cs="Times New Roman"/>
          <w:sz w:val="24"/>
          <w:szCs w:val="24"/>
          <w:lang w:eastAsia="bg-BG"/>
        </w:rPr>
        <w:t>микро-бутони</w:t>
      </w:r>
      <w:proofErr w:type="spellEnd"/>
      <w:r w:rsidRPr="00696F62">
        <w:rPr>
          <w:rFonts w:ascii="Trebuchet MS" w:eastAsia="Times New Roman" w:hAnsi="Trebuchet MS" w:cs="Times New Roman"/>
          <w:sz w:val="24"/>
          <w:szCs w:val="24"/>
          <w:lang w:eastAsia="bg-BG"/>
        </w:rPr>
        <w:t xml:space="preserve"> с икони, разположени до/пред/след етикета на съответния елемент, за който се отнася контекстната помощ, или чрез обработка на “Mouse </w:t>
      </w:r>
      <w:proofErr w:type="spellStart"/>
      <w:r w:rsidRPr="00696F62">
        <w:rPr>
          <w:rFonts w:ascii="Trebuchet MS" w:eastAsia="Times New Roman" w:hAnsi="Trebuchet MS" w:cs="Times New Roman"/>
          <w:sz w:val="24"/>
          <w:szCs w:val="24"/>
          <w:lang w:eastAsia="bg-BG"/>
        </w:rPr>
        <w:t>Hover</w:t>
      </w:r>
      <w:proofErr w:type="spellEnd"/>
      <w:r w:rsidRPr="00696F62">
        <w:rPr>
          <w:rFonts w:ascii="Trebuchet MS" w:eastAsia="Times New Roman" w:hAnsi="Trebuchet MS" w:cs="Times New Roman"/>
          <w:sz w:val="24"/>
          <w:szCs w:val="24"/>
          <w:lang w:eastAsia="bg-BG"/>
        </w:rPr>
        <w:t xml:space="preserve">/Mouse </w:t>
      </w:r>
      <w:proofErr w:type="spellStart"/>
      <w:r w:rsidRPr="00696F62">
        <w:rPr>
          <w:rFonts w:ascii="Trebuchet MS" w:eastAsia="Times New Roman" w:hAnsi="Trebuchet MS" w:cs="Times New Roman"/>
          <w:sz w:val="24"/>
          <w:szCs w:val="24"/>
          <w:lang w:eastAsia="bg-BG"/>
        </w:rPr>
        <w:t>Over</w:t>
      </w:r>
      <w:proofErr w:type="spellEnd"/>
      <w:r w:rsidRPr="00696F62">
        <w:rPr>
          <w:rFonts w:ascii="Trebuchet MS" w:eastAsia="Times New Roman" w:hAnsi="Trebuchet MS" w:cs="Times New Roman"/>
          <w:sz w:val="24"/>
          <w:szCs w:val="24"/>
          <w:lang w:eastAsia="bg-BG"/>
        </w:rPr>
        <w:t>” събития.</w:t>
      </w:r>
    </w:p>
    <w:p w:rsidR="00696F62" w:rsidRPr="00696F62" w:rsidRDefault="00696F62" w:rsidP="00696F62">
      <w:pPr>
        <w:keepNext/>
        <w:spacing w:before="240" w:after="240" w:line="240" w:lineRule="auto"/>
        <w:ind w:left="1440" w:hanging="360"/>
        <w:jc w:val="both"/>
        <w:outlineLvl w:val="1"/>
        <w:rPr>
          <w:rFonts w:ascii="Trebuchet MS" w:eastAsia="Calibri" w:hAnsi="Trebuchet MS" w:cs="Times New Roman"/>
          <w:b/>
          <w:spacing w:val="20"/>
          <w:sz w:val="24"/>
          <w:szCs w:val="24"/>
          <w:lang w:eastAsia="bg-BG"/>
        </w:rPr>
      </w:pPr>
      <w:bookmarkStart w:id="72" w:name="_Toc503460528"/>
      <w:bookmarkStart w:id="73" w:name="_Toc503460529"/>
      <w:bookmarkStart w:id="74" w:name="_Toc503460530"/>
      <w:bookmarkStart w:id="75" w:name="_Toc503460531"/>
      <w:bookmarkStart w:id="76" w:name="_Toc503463515"/>
      <w:bookmarkEnd w:id="72"/>
      <w:bookmarkEnd w:id="73"/>
      <w:bookmarkEnd w:id="74"/>
      <w:bookmarkEnd w:id="75"/>
      <w:r w:rsidRPr="00696F62">
        <w:rPr>
          <w:rFonts w:ascii="Trebuchet MS" w:eastAsia="Calibri" w:hAnsi="Trebuchet MS" w:cs="Times New Roman"/>
          <w:b/>
          <w:spacing w:val="20"/>
          <w:sz w:val="24"/>
          <w:szCs w:val="24"/>
          <w:lang w:eastAsia="bg-BG"/>
        </w:rPr>
        <w:t>Системен журнал</w:t>
      </w:r>
      <w:bookmarkEnd w:id="76"/>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Платформата следва да осигурява </w:t>
      </w:r>
      <w:proofErr w:type="spellStart"/>
      <w:r w:rsidRPr="00696F62">
        <w:rPr>
          <w:rFonts w:ascii="Trebuchet MS" w:eastAsia="Times New Roman" w:hAnsi="Trebuchet MS" w:cs="Times New Roman"/>
          <w:sz w:val="24"/>
          <w:szCs w:val="24"/>
          <w:lang w:eastAsia="bg-BG"/>
        </w:rPr>
        <w:t>проследимост</w:t>
      </w:r>
      <w:proofErr w:type="spellEnd"/>
      <w:r w:rsidRPr="00696F62">
        <w:rPr>
          <w:rFonts w:ascii="Trebuchet MS" w:eastAsia="Times New Roman" w:hAnsi="Trebuchet MS" w:cs="Times New Roman"/>
          <w:sz w:val="24"/>
          <w:szCs w:val="24"/>
          <w:lang w:eastAsia="bg-BG"/>
        </w:rPr>
        <w:t xml:space="preserve"> на действията на всеки потребител (одит), както и версия на предишно състояние на данни, които същия е променил в резултат на своите действия (системен журнал).</w:t>
      </w:r>
    </w:p>
    <w:p w:rsidR="00696F62" w:rsidRPr="00696F62" w:rsidRDefault="00696F62" w:rsidP="00696F62">
      <w:pPr>
        <w:spacing w:before="60" w:after="0" w:line="240" w:lineRule="auto"/>
        <w:ind w:firstLine="720"/>
        <w:jc w:val="both"/>
        <w:rPr>
          <w:rFonts w:ascii="Trebuchet MS" w:eastAsia="Times New Roman" w:hAnsi="Trebuchet MS" w:cs="Times New Roman"/>
          <w:sz w:val="24"/>
          <w:szCs w:val="24"/>
          <w:lang w:eastAsia="bg-BG"/>
        </w:rPr>
      </w:pPr>
      <w:bookmarkStart w:id="77" w:name="_Toc503460533"/>
      <w:bookmarkStart w:id="78" w:name="_Toc503460534"/>
      <w:bookmarkStart w:id="79" w:name="_Toc503460535"/>
      <w:bookmarkStart w:id="80" w:name="_Toc503460536"/>
      <w:bookmarkStart w:id="81" w:name="_Toc503460537"/>
      <w:bookmarkStart w:id="82" w:name="_Toc503460538"/>
      <w:bookmarkStart w:id="83" w:name="_Toc503460539"/>
      <w:bookmarkStart w:id="84" w:name="_Toc503460540"/>
      <w:bookmarkStart w:id="85" w:name="_Toc503460541"/>
      <w:bookmarkEnd w:id="77"/>
      <w:bookmarkEnd w:id="78"/>
      <w:bookmarkEnd w:id="79"/>
      <w:bookmarkEnd w:id="80"/>
      <w:bookmarkEnd w:id="81"/>
      <w:bookmarkEnd w:id="82"/>
      <w:bookmarkEnd w:id="83"/>
      <w:bookmarkEnd w:id="84"/>
      <w:bookmarkEnd w:id="85"/>
    </w:p>
    <w:p w:rsidR="00696F62" w:rsidRPr="00696F62" w:rsidRDefault="00696F62" w:rsidP="00696F62">
      <w:pPr>
        <w:spacing w:before="60" w:after="0" w:line="240" w:lineRule="auto"/>
        <w:ind w:firstLine="720"/>
        <w:jc w:val="both"/>
        <w:rPr>
          <w:rFonts w:ascii="Trebuchet MS" w:eastAsia="Times New Roman" w:hAnsi="Trebuchet MS" w:cs="Times New Roman"/>
          <w:sz w:val="24"/>
          <w:szCs w:val="24"/>
          <w:lang w:eastAsia="bg-BG"/>
        </w:rPr>
      </w:pPr>
    </w:p>
    <w:p w:rsidR="00696F62" w:rsidRPr="00696F62" w:rsidRDefault="00696F62" w:rsidP="00696F62">
      <w:pPr>
        <w:shd w:val="clear" w:color="auto" w:fill="A6A6A6"/>
        <w:spacing w:before="60" w:after="0" w:line="240" w:lineRule="auto"/>
        <w:ind w:firstLine="720"/>
        <w:jc w:val="both"/>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ДЕЙНОСТИ ПО ВНЕДРЯВАНЕ И ТЕСТВАНЕ </w:t>
      </w:r>
    </w:p>
    <w:p w:rsidR="00696F62" w:rsidRPr="00696F62" w:rsidRDefault="00696F62" w:rsidP="00696F62">
      <w:pPr>
        <w:numPr>
          <w:ilvl w:val="0"/>
          <w:numId w:val="6"/>
        </w:numPr>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ИНФРАСТРУКТУРА И ВНЕДРЯВАНЕ НА ПЛАТФОРМАТА В РЕАЛНА СРЕДА </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Платформата следва да бъде интеграционно и функционално тествана и внедрена спрямо правила и изисквания на Възложителя по отношение на внедряване на нови модули и системи към общата инфраструктура на платформата за електронна община на Възложителя. Инфраструктурата и начинът за разгръщане на платформата в реална среда се определя от Възложителя в хода на изпълнение на поръчката.</w:t>
      </w:r>
    </w:p>
    <w:p w:rsidR="00696F62" w:rsidRPr="00696F62" w:rsidRDefault="00696F62" w:rsidP="00696F62">
      <w:pPr>
        <w:rPr>
          <w:rFonts w:ascii="Trebuchet MS" w:eastAsia="Calibri" w:hAnsi="Trebuchet MS" w:cs="Times New Roman"/>
          <w:sz w:val="24"/>
          <w:szCs w:val="24"/>
          <w:lang w:val="ru-RU" w:eastAsia="bg-BG"/>
        </w:rPr>
      </w:pPr>
    </w:p>
    <w:p w:rsidR="00696F62" w:rsidRPr="00696F62" w:rsidRDefault="00696F62" w:rsidP="00696F62">
      <w:pPr>
        <w:numPr>
          <w:ilvl w:val="0"/>
          <w:numId w:val="6"/>
        </w:numPr>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ДЕЙНОСТИ ПО ОБУЧЕНИЕ</w:t>
      </w:r>
    </w:p>
    <w:p w:rsidR="00696F62" w:rsidRPr="00696F62" w:rsidRDefault="00696F62" w:rsidP="00696F62">
      <w:pPr>
        <w:spacing w:before="60" w:after="0" w:line="240" w:lineRule="auto"/>
        <w:jc w:val="both"/>
        <w:rPr>
          <w:rFonts w:ascii="Trebuchet MS" w:eastAsia="Calibri" w:hAnsi="Trebuchet MS" w:cs="Times New Roman"/>
          <w:b/>
          <w:sz w:val="24"/>
          <w:szCs w:val="24"/>
          <w:lang w:eastAsia="bg-BG"/>
        </w:rPr>
      </w:pPr>
      <w:r w:rsidRPr="00696F62">
        <w:rPr>
          <w:rFonts w:ascii="Trebuchet MS" w:eastAsia="Times New Roman" w:hAnsi="Trebuchet MS" w:cs="Times New Roman"/>
          <w:sz w:val="24"/>
          <w:szCs w:val="24"/>
          <w:lang w:eastAsia="bg-BG"/>
        </w:rPr>
        <w:t xml:space="preserve">При внедряване на Платформата Изпълнителят следва да обучи отговорни служители на Възложителя и предостави ръководство за администрация и експлоатация на Платформата. Точното спазване на инструкцията за експлоатация </w:t>
      </w:r>
      <w:r w:rsidRPr="00696F62">
        <w:rPr>
          <w:rFonts w:ascii="Trebuchet MS" w:eastAsia="Times New Roman" w:hAnsi="Trebuchet MS" w:cs="Times New Roman"/>
          <w:sz w:val="24"/>
          <w:szCs w:val="24"/>
          <w:lang w:eastAsia="bg-BG"/>
        </w:rPr>
        <w:lastRenderedPageBreak/>
        <w:t>на системите е абсолютно необходимо за валидността на гаранционната поддръжка. Гаранцията на софтуерната Платформа отпада, в случай че тази инструкция не е спазена.</w:t>
      </w:r>
    </w:p>
    <w:p w:rsidR="00696F62" w:rsidRPr="00696F62" w:rsidRDefault="00696F62" w:rsidP="00696F62">
      <w:pPr>
        <w:rPr>
          <w:rFonts w:ascii="Trebuchet MS" w:eastAsia="Calibri" w:hAnsi="Trebuchet MS" w:cs="Times New Roman"/>
          <w:b/>
          <w:sz w:val="24"/>
          <w:szCs w:val="24"/>
          <w:lang w:val="ru-RU" w:eastAsia="bg-BG"/>
        </w:rPr>
      </w:pPr>
    </w:p>
    <w:p w:rsidR="00696F62" w:rsidRPr="00696F62" w:rsidRDefault="00696F62" w:rsidP="00696F62">
      <w:pPr>
        <w:numPr>
          <w:ilvl w:val="0"/>
          <w:numId w:val="6"/>
        </w:numPr>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ИЗИСКВАНИЯ ПО ОТНОШЕНИЕ НА ГАРАНЦИОННАТА ПОДДРЪЖКА</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Изпълнителят следва да осигури гаранционна поддръжка за периода, посочен в Техническото предложение след приемане в експлоатация на платформата. Гаранционната поддръжка следва да е предвидена за всички компоненти на разработената софтуерна платформа. Дейностите по гаранционна поддръжка не включват разработка на нови функционалности.</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Гаранционната поддръжка на внедрената платформа включва изпълнение на следните дейности от Изпълнителя в рамките на гаранционния период:</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Извършване на диагностика на констатиран проблем;</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Отстраняване на дефекти, открити в софтуерната платформа;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 xml:space="preserve">Консултация за разрешаване на проблеми по предложената конфигурация на средата (операционна система, база данни, </w:t>
      </w:r>
      <w:proofErr w:type="spellStart"/>
      <w:r w:rsidRPr="00696F62">
        <w:rPr>
          <w:rFonts w:ascii="Trebuchet MS" w:eastAsia="Calibri" w:hAnsi="Trebuchet MS" w:cs="Times New Roman"/>
          <w:sz w:val="24"/>
          <w:szCs w:val="24"/>
        </w:rPr>
        <w:t>middleware</w:t>
      </w:r>
      <w:proofErr w:type="spellEnd"/>
      <w:r w:rsidRPr="00696F62">
        <w:rPr>
          <w:rFonts w:ascii="Trebuchet MS" w:eastAsia="Calibri" w:hAnsi="Trebuchet MS" w:cs="Times New Roman"/>
          <w:sz w:val="24"/>
          <w:szCs w:val="24"/>
        </w:rPr>
        <w:t>, хардуер и мрежи), използвана от приложението;</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Възстановяване на системата и данните при евентуален срив на системата, както и коригирането им в следствие на грешки в системата;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 xml:space="preserve">Възможност за регистриране и проследяване на дефекти и запитвания в Система за управление на обслужването: </w:t>
      </w:r>
      <w:r w:rsidRPr="00696F62">
        <w:rPr>
          <w:rFonts w:ascii="Trebuchet MS" w:eastAsia="Calibri" w:hAnsi="Trebuchet MS" w:cs="Times New Roman"/>
          <w:bCs/>
          <w:sz w:val="24"/>
          <w:szCs w:val="24"/>
        </w:rPr>
        <w:t>уеб-базиран инструмент за управление, категоризиране, проследяване на случаи по гаранционна поддръжка, осигурен от Изпълнителя</w:t>
      </w:r>
      <w:r w:rsidRPr="00696F62">
        <w:rPr>
          <w:rFonts w:ascii="Trebuchet MS" w:eastAsia="Calibri" w:hAnsi="Trebuchet MS" w:cs="Times New Roman"/>
          <w:sz w:val="24"/>
          <w:szCs w:val="24"/>
        </w:rPr>
        <w:t>.</w:t>
      </w:r>
    </w:p>
    <w:p w:rsidR="00696F62" w:rsidRPr="00696F62" w:rsidRDefault="00696F62" w:rsidP="00696F62">
      <w:pPr>
        <w:spacing w:before="60" w:after="0" w:line="240" w:lineRule="auto"/>
        <w:jc w:val="both"/>
        <w:rPr>
          <w:rFonts w:ascii="Trebuchet MS" w:eastAsia="Calibri" w:hAnsi="Trebuchet MS" w:cs="Times New Roman"/>
          <w:sz w:val="24"/>
          <w:szCs w:val="24"/>
        </w:rPr>
      </w:pPr>
      <w:r w:rsidRPr="00696F62">
        <w:rPr>
          <w:rFonts w:ascii="Trebuchet MS" w:eastAsia="Times New Roman" w:hAnsi="Trebuchet MS" w:cs="Times New Roman"/>
          <w:sz w:val="24"/>
          <w:szCs w:val="24"/>
          <w:lang w:eastAsia="bg-BG"/>
        </w:rPr>
        <w:t>При необходимост, по време на гаранционния период, следва да бъдат осъществявани дейности по осигуряване на експлоатационната годност на доставения софтуер и ефективното му използване от Възложителя в случай, че настъпят явни отклонения от нормалните експлоатационни характеристики, заложени в спецификацията.</w:t>
      </w:r>
    </w:p>
    <w:p w:rsidR="00696F62" w:rsidRPr="00696F62" w:rsidRDefault="00696F62" w:rsidP="00696F62">
      <w:pPr>
        <w:spacing w:before="60" w:after="0" w:line="240" w:lineRule="auto"/>
        <w:ind w:firstLine="720"/>
        <w:jc w:val="both"/>
        <w:rPr>
          <w:rFonts w:ascii="Trebuchet MS" w:eastAsia="Calibri" w:hAnsi="Trebuchet MS" w:cs="Times New Roman"/>
          <w:sz w:val="24"/>
          <w:szCs w:val="24"/>
        </w:rPr>
      </w:pPr>
    </w:p>
    <w:p w:rsidR="00696F62" w:rsidRPr="00696F62" w:rsidRDefault="00696F62" w:rsidP="00696F62">
      <w:pPr>
        <w:spacing w:before="60" w:after="0" w:line="240" w:lineRule="auto"/>
        <w:jc w:val="both"/>
        <w:rPr>
          <w:rFonts w:ascii="Trebuchet MS" w:eastAsia="Times New Roman" w:hAnsi="Trebuchet MS" w:cs="Times New Roman"/>
          <w:color w:val="FF0000"/>
          <w:sz w:val="24"/>
          <w:szCs w:val="24"/>
          <w:lang w:eastAsia="bg-BG"/>
        </w:rPr>
      </w:pPr>
      <w:r w:rsidRPr="00696F62">
        <w:rPr>
          <w:rFonts w:ascii="Trebuchet MS" w:eastAsia="Times New Roman" w:hAnsi="Trebuchet MS" w:cs="Times New Roman"/>
          <w:sz w:val="24"/>
          <w:szCs w:val="24"/>
          <w:lang w:eastAsia="bg-BG"/>
        </w:rPr>
        <w:t>Гаранционната поддръжка не включва: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разработка на нова функционалност, реализиране на доработки или промени във функционалността на Платформата, които са извън обхвата на приетата спецификация на системата;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отстраняване на проблеми, дължащи се на неправилна експлоатация от страна на Възложителя или потребителите на Платформата;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lastRenderedPageBreak/>
        <w:t>отстраняване на проблеми, дължащи се на извършени от Възложителя и/или други упълномощени от него лица, не съгласувани с Изпълнителя промени в програмните модули или конфигурация на системата;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отстраняване на проблеми в комуникационната инфраструктура, системния софтуер (операционни системи) и/или базовия софтуер (системи за управление на бази данни, сървъри на приложения, уеб-сървъри, офис-пакети), използвани от системата;</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отстраняване на проблеми, дължащи се на хардуерна повреда; човешки грешки, рефлектиращи пряко върху производителността на системите: въвеждане на грешни входни данни, грешни настройки и други; зловреден код; нарушение на правилата за сигурност; отпадане или претоварване на комуникационен канал;</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софтуерни продукти, които не се съдържат в разработените от Изпълнителя компоненти на Платформата, съответно спомагателен софтуер.</w:t>
      </w:r>
    </w:p>
    <w:p w:rsidR="00696F62" w:rsidRPr="00696F62" w:rsidRDefault="00696F62" w:rsidP="00696F62">
      <w:pPr>
        <w:spacing w:before="60"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Всички установени от Възложителя проблеми се разделят на три групи, в зависимост от приоритета им:</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Въздействие върху бизнес процеси, вследствие нарушаване на основни функционалности на структуроопределящи компоненти, водещо до пълна системна неработоспособност;</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Въздействие върху бизнес процеси, вследствие частично нарушаване на функционалностите на структуроопределящите компоненти, водещо до частична системна неработоспособност;</w:t>
      </w:r>
    </w:p>
    <w:p w:rsidR="00696F62" w:rsidRPr="00696F62" w:rsidRDefault="00696F62" w:rsidP="00696F62">
      <w:pPr>
        <w:numPr>
          <w:ilvl w:val="0"/>
          <w:numId w:val="3"/>
        </w:numPr>
        <w:spacing w:after="0" w:line="240" w:lineRule="auto"/>
        <w:jc w:val="both"/>
        <w:rPr>
          <w:rFonts w:ascii="Trebuchet MS" w:eastAsia="Calibri" w:hAnsi="Trebuchet MS" w:cs="Times New Roman"/>
          <w:sz w:val="24"/>
          <w:szCs w:val="24"/>
        </w:rPr>
      </w:pPr>
      <w:r w:rsidRPr="00696F62">
        <w:rPr>
          <w:rFonts w:ascii="Trebuchet MS" w:eastAsia="Calibri" w:hAnsi="Trebuchet MS" w:cs="Times New Roman"/>
          <w:sz w:val="24"/>
          <w:szCs w:val="24"/>
        </w:rPr>
        <w:t>Въздействие върху бизнес процеси, вследствие нарушаване на функционалности на неструктуроопределящи компоненти, водещо до частична системна неработоспособност.</w:t>
      </w:r>
    </w:p>
    <w:p w:rsidR="00696F62" w:rsidRPr="00696F62" w:rsidRDefault="00696F62" w:rsidP="00696F62">
      <w:pPr>
        <w:spacing w:after="0" w:line="240" w:lineRule="auto"/>
        <w:jc w:val="both"/>
        <w:rPr>
          <w:rFonts w:ascii="Trebuchet MS" w:eastAsia="Calibri" w:hAnsi="Trebuchet MS" w:cs="Times New Roman"/>
          <w:sz w:val="24"/>
          <w:szCs w:val="24"/>
        </w:rPr>
      </w:pPr>
      <w:r w:rsidRPr="00696F62">
        <w:rPr>
          <w:rFonts w:ascii="Trebuchet MS" w:eastAsia="Times New Roman" w:hAnsi="Trebuchet MS" w:cs="Times New Roman"/>
          <w:noProof/>
          <w:sz w:val="24"/>
          <w:szCs w:val="24"/>
          <w:lang w:eastAsia="bg-BG"/>
        </w:rPr>
        <w:t>Приоритетите на проблемите се определят в зависимост от влиянието им върху работата на участниците в Платформата. Редът на отстраняване на проблеми се определя в зависимост от техния приоритет.</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Не се предвиждат допълнителни плащания за дейности през периода на гаранционна поддръжка.</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За осъществяване на дейности по гаранционна поддръжка Участникът следва да предложи примерна процедура.</w:t>
      </w:r>
    </w:p>
    <w:p w:rsidR="00696F62" w:rsidRPr="00696F62" w:rsidRDefault="00696F62" w:rsidP="00696F62">
      <w:pPr>
        <w:numPr>
          <w:ilvl w:val="0"/>
          <w:numId w:val="6"/>
        </w:numPr>
        <w:spacing w:before="240" w:after="120" w:line="240" w:lineRule="auto"/>
        <w:jc w:val="both"/>
        <w:outlineLvl w:val="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ИЗИСКВАНИЯ И ДОПЪЛНИТЕЛНИ УСЛОВИЯ ПРИ ИЗПЪЛНЕНИЕ</w:t>
      </w: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Изпълнителят следва да предостави актуализиран план-график за изпълнение.</w:t>
      </w:r>
    </w:p>
    <w:p w:rsidR="00696F62" w:rsidRPr="00696F62" w:rsidRDefault="00696F62" w:rsidP="00696F62">
      <w:pPr>
        <w:spacing w:after="0" w:line="240" w:lineRule="auto"/>
        <w:jc w:val="both"/>
        <w:rPr>
          <w:rFonts w:ascii="Trebuchet MS" w:eastAsia="Calibri" w:hAnsi="Trebuchet MS" w:cs="Times New Roman"/>
          <w:sz w:val="24"/>
          <w:szCs w:val="24"/>
        </w:rPr>
      </w:pPr>
      <w:r w:rsidRPr="00696F62">
        <w:rPr>
          <w:rFonts w:ascii="Trebuchet MS" w:eastAsia="Times New Roman" w:hAnsi="Trebuchet MS" w:cs="Times New Roman"/>
          <w:noProof/>
          <w:sz w:val="24"/>
          <w:szCs w:val="24"/>
          <w:lang w:eastAsia="bg-BG"/>
        </w:rPr>
        <w:t xml:space="preserve">Взаимодействията с екипите на трети страни - външни доставчици на софтуерни или инфраструктурни компоненти и услуги, по силата на съществуващи договори </w:t>
      </w:r>
      <w:r w:rsidRPr="00696F62">
        <w:rPr>
          <w:rFonts w:ascii="Trebuchet MS" w:eastAsia="Times New Roman" w:hAnsi="Trebuchet MS" w:cs="Times New Roman"/>
          <w:noProof/>
          <w:sz w:val="24"/>
          <w:szCs w:val="24"/>
          <w:lang w:eastAsia="bg-BG"/>
        </w:rPr>
        <w:lastRenderedPageBreak/>
        <w:t>на Възложителя, както и на бъдещи такива, се координират и контролират от Възложителя</w:t>
      </w:r>
      <w:r w:rsidRPr="00696F62">
        <w:rPr>
          <w:rFonts w:ascii="Trebuchet MS" w:eastAsia="Calibri" w:hAnsi="Trebuchet MS" w:cs="Times New Roman"/>
          <w:sz w:val="24"/>
          <w:szCs w:val="24"/>
        </w:rPr>
        <w:t>.</w:t>
      </w:r>
    </w:p>
    <w:p w:rsidR="00696F62" w:rsidRPr="00696F62" w:rsidRDefault="00696F62" w:rsidP="00696F62">
      <w:pPr>
        <w:spacing w:after="0" w:line="240" w:lineRule="auto"/>
        <w:jc w:val="both"/>
        <w:rPr>
          <w:rFonts w:ascii="Trebuchet MS" w:eastAsia="Calibri" w:hAnsi="Trebuchet MS" w:cs="Times New Roman"/>
          <w:sz w:val="24"/>
          <w:szCs w:val="24"/>
        </w:rPr>
      </w:pPr>
    </w:p>
    <w:p w:rsidR="00696F62" w:rsidRPr="00696F62" w:rsidRDefault="00696F62" w:rsidP="00696F62">
      <w:pPr>
        <w:shd w:val="clear" w:color="auto" w:fill="A6A6A6"/>
        <w:spacing w:before="120" w:after="80" w:line="240" w:lineRule="auto"/>
        <w:ind w:firstLine="720"/>
        <w:rPr>
          <w:rFonts w:ascii="Trebuchet MS" w:eastAsia="Times New Roman" w:hAnsi="Trebuchet MS" w:cs="Times New Roman"/>
          <w:b/>
          <w:sz w:val="24"/>
          <w:szCs w:val="24"/>
          <w:lang w:eastAsia="bg-BG"/>
        </w:rPr>
      </w:pPr>
      <w:r w:rsidRPr="00696F62">
        <w:rPr>
          <w:rFonts w:ascii="Trebuchet MS" w:eastAsia="Times New Roman" w:hAnsi="Trebuchet MS" w:cs="Times New Roman"/>
          <w:b/>
          <w:sz w:val="24"/>
          <w:szCs w:val="24"/>
          <w:lang w:eastAsia="bg-BG"/>
        </w:rPr>
        <w:t xml:space="preserve">ПРИЛОЖИМА НОРМАТИВНА УРЕДБА </w:t>
      </w:r>
    </w:p>
    <w:p w:rsidR="00696F62" w:rsidRPr="00696F62" w:rsidRDefault="00696F62" w:rsidP="00696F62">
      <w:pPr>
        <w:autoSpaceDE w:val="0"/>
        <w:autoSpaceDN w:val="0"/>
        <w:adjustRightInd w:val="0"/>
        <w:spacing w:after="0" w:line="240" w:lineRule="auto"/>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Следва да бъдат спазвани правила и процедури, записани в: </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Ръководство за изпълнение на проекти по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 </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Инструкции за бенефициенти на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 </w:t>
      </w:r>
    </w:p>
    <w:p w:rsidR="00696F62" w:rsidRPr="00696F62" w:rsidRDefault="00696F62" w:rsidP="00696F62">
      <w:pPr>
        <w:numPr>
          <w:ilvl w:val="0"/>
          <w:numId w:val="10"/>
        </w:numPr>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Актуални ценови прагове, установени от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Списък на допустимите разходи по проекти, финансирани от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 </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Ръководство за визуална идентичност на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Модел на договор за субсидия на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Модел на договор за партньорство по проекти, финансирани от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Действащото законодателство, </w:t>
      </w:r>
      <w:proofErr w:type="spellStart"/>
      <w:r w:rsidRPr="00696F62">
        <w:rPr>
          <w:rFonts w:ascii="Trebuchet MS" w:eastAsia="Times New Roman" w:hAnsi="Trebuchet MS" w:cs="Times New Roman"/>
          <w:sz w:val="24"/>
          <w:szCs w:val="24"/>
          <w:lang w:eastAsia="bg-BG"/>
        </w:rPr>
        <w:t>касаещо</w:t>
      </w:r>
      <w:proofErr w:type="spellEnd"/>
      <w:r w:rsidRPr="00696F62">
        <w:rPr>
          <w:rFonts w:ascii="Trebuchet MS" w:eastAsia="Times New Roman" w:hAnsi="Trebuchet MS" w:cs="Times New Roman"/>
          <w:sz w:val="24"/>
          <w:szCs w:val="24"/>
          <w:lang w:eastAsia="bg-BG"/>
        </w:rPr>
        <w:t xml:space="preserve"> изпълнение на проекти по Програма </w:t>
      </w:r>
      <w:proofErr w:type="spellStart"/>
      <w:r w:rsidRPr="00696F62">
        <w:rPr>
          <w:rFonts w:ascii="Trebuchet MS" w:eastAsia="Times New Roman" w:hAnsi="Trebuchet MS" w:cs="Times New Roman"/>
          <w:sz w:val="24"/>
          <w:szCs w:val="24"/>
          <w:lang w:eastAsia="bg-BG"/>
        </w:rPr>
        <w:t>Interreg</w:t>
      </w:r>
      <w:proofErr w:type="spellEnd"/>
      <w:r w:rsidRPr="00696F62">
        <w:rPr>
          <w:rFonts w:ascii="Trebuchet MS" w:eastAsia="Times New Roman" w:hAnsi="Trebuchet MS" w:cs="Times New Roman"/>
          <w:sz w:val="24"/>
          <w:szCs w:val="24"/>
          <w:lang w:eastAsia="bg-BG"/>
        </w:rPr>
        <w:t xml:space="preserve"> V – A Румъния-България;</w:t>
      </w:r>
    </w:p>
    <w:p w:rsidR="00696F62" w:rsidRPr="00696F62" w:rsidRDefault="00696F62" w:rsidP="00696F62">
      <w:pPr>
        <w:numPr>
          <w:ilvl w:val="0"/>
          <w:numId w:val="10"/>
        </w:numPr>
        <w:autoSpaceDE w:val="0"/>
        <w:autoSpaceDN w:val="0"/>
        <w:adjustRightInd w:val="0"/>
        <w:spacing w:after="0" w:line="240" w:lineRule="auto"/>
        <w:contextualSpacing/>
        <w:jc w:val="both"/>
        <w:rPr>
          <w:rFonts w:ascii="Trebuchet MS" w:eastAsia="Times New Roman" w:hAnsi="Trebuchet MS" w:cs="Times New Roman"/>
          <w:sz w:val="24"/>
          <w:szCs w:val="24"/>
          <w:lang w:eastAsia="bg-BG"/>
        </w:rPr>
      </w:pPr>
      <w:r w:rsidRPr="00696F62">
        <w:rPr>
          <w:rFonts w:ascii="Trebuchet MS" w:eastAsia="Times New Roman" w:hAnsi="Trebuchet MS" w:cs="Times New Roman"/>
          <w:sz w:val="24"/>
          <w:szCs w:val="24"/>
          <w:lang w:eastAsia="bg-BG"/>
        </w:rPr>
        <w:t xml:space="preserve">Други документи, наръчници и образци, публикувани на интернет-страницата на програмата </w:t>
      </w:r>
      <w:hyperlink r:id="rId8" w:history="1">
        <w:r w:rsidRPr="00696F62">
          <w:rPr>
            <w:rFonts w:ascii="Trebuchet MS" w:eastAsia="Times New Roman" w:hAnsi="Trebuchet MS" w:cs="Times New Roman"/>
            <w:color w:val="0000FF"/>
            <w:sz w:val="24"/>
            <w:szCs w:val="24"/>
            <w:u w:val="single"/>
            <w:lang w:eastAsia="bg-BG"/>
          </w:rPr>
          <w:t>http://interregrobg.eu</w:t>
        </w:r>
      </w:hyperlink>
    </w:p>
    <w:p w:rsidR="00696F62" w:rsidRPr="00696F62" w:rsidRDefault="00696F62" w:rsidP="00696F62">
      <w:pPr>
        <w:rPr>
          <w:rFonts w:ascii="Trebuchet MS" w:eastAsia="Calibri" w:hAnsi="Trebuchet MS" w:cs="Times New Roman"/>
          <w:sz w:val="24"/>
          <w:szCs w:val="24"/>
        </w:rPr>
      </w:pPr>
    </w:p>
    <w:p w:rsidR="00696F62" w:rsidRPr="00696F62" w:rsidRDefault="00696F62" w:rsidP="00696F62">
      <w:pPr>
        <w:spacing w:after="0" w:line="240" w:lineRule="auto"/>
        <w:jc w:val="both"/>
        <w:rPr>
          <w:rFonts w:ascii="Trebuchet MS" w:eastAsia="Times New Roman" w:hAnsi="Trebuchet MS" w:cs="Times New Roman"/>
          <w:noProof/>
          <w:sz w:val="24"/>
          <w:szCs w:val="24"/>
          <w:lang w:eastAsia="bg-BG"/>
        </w:rPr>
      </w:pPr>
      <w:r w:rsidRPr="00696F62">
        <w:rPr>
          <w:rFonts w:ascii="Trebuchet MS" w:eastAsia="Times New Roman" w:hAnsi="Trebuchet MS" w:cs="Times New Roman"/>
          <w:noProof/>
          <w:sz w:val="24"/>
          <w:szCs w:val="24"/>
          <w:lang w:eastAsia="bg-BG"/>
        </w:rPr>
        <w:t>Всички приложени документи са резултат от извършвани дейности по проекта до момента и представляват работни и индикативни документи в съответните области. Целта на документите е предоставянето от Възложителя на наличната информация към момента, с цел запознаване относно развитието на проекта. Документите са работни и описаните елементи в тях подлежат на прецизиране, в съответствие с изискванията на Възложителя, извършения от Изпълнителя анализ, съгласуваните от Възложителя и Изпълнителя параметри и характеристики на Платформата. Всички текстове, както и правните документи относими към работата на Платформата се предоставят от Възложителя съгласно план-графика преди внедряване на Платформата.</w:t>
      </w:r>
    </w:p>
    <w:p w:rsidR="00696F62" w:rsidRPr="00696F62" w:rsidRDefault="00696F62" w:rsidP="00696F62">
      <w:pPr>
        <w:ind w:firstLine="720"/>
        <w:rPr>
          <w:rFonts w:ascii="Trebuchet MS" w:eastAsia="Calibri" w:hAnsi="Trebuchet MS" w:cs="Times New Roman"/>
          <w:sz w:val="24"/>
          <w:szCs w:val="24"/>
        </w:rPr>
      </w:pPr>
    </w:p>
    <w:p w:rsidR="004E2731" w:rsidRPr="00696F62" w:rsidRDefault="004E2731" w:rsidP="00696F62"/>
    <w:sectPr w:rsidR="004E2731" w:rsidRPr="00696F62" w:rsidSect="00EF30A9">
      <w:headerReference w:type="default" r:id="rId9"/>
      <w:footerReference w:type="default" r:id="rId10"/>
      <w:pgSz w:w="11906" w:h="16838"/>
      <w:pgMar w:top="543" w:right="991" w:bottom="1417"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A6" w:rsidRDefault="00F968A6" w:rsidP="00FE7491">
      <w:pPr>
        <w:spacing w:after="0" w:line="240" w:lineRule="auto"/>
      </w:pPr>
      <w:r>
        <w:separator/>
      </w:r>
    </w:p>
  </w:endnote>
  <w:endnote w:type="continuationSeparator" w:id="0">
    <w:p w:rsidR="00F968A6" w:rsidRDefault="00F968A6" w:rsidP="00FE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MS">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91" w:rsidRPr="00FE7491" w:rsidRDefault="00FE7491" w:rsidP="00FE7491">
    <w:pPr>
      <w:rPr>
        <w:rFonts w:ascii="Times New Roman" w:eastAsia="Times New Roman" w:hAnsi="Times New Roman" w:cs="Times New Roman"/>
        <w:sz w:val="24"/>
        <w:szCs w:val="24"/>
        <w:lang w:eastAsia="bg-BG"/>
      </w:rPr>
    </w:pPr>
  </w:p>
  <w:p w:rsidR="00FE7491" w:rsidRPr="00FE7491" w:rsidRDefault="00FE7491" w:rsidP="00FE7491">
    <w:pP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noProof/>
        <w:sz w:val="24"/>
        <w:szCs w:val="24"/>
        <w:lang w:eastAsia="bg-BG"/>
      </w:rPr>
      <w:drawing>
        <wp:inline distT="0" distB="0" distL="0" distR="0" wp14:anchorId="24F38FFE" wp14:editId="2EE7C224">
          <wp:extent cx="1121410" cy="526415"/>
          <wp:effectExtent l="0" t="0" r="2540" b="698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526415"/>
                  </a:xfrm>
                  <a:prstGeom prst="rect">
                    <a:avLst/>
                  </a:prstGeom>
                  <a:noFill/>
                  <a:ln>
                    <a:noFill/>
                  </a:ln>
                </pic:spPr>
              </pic:pic>
            </a:graphicData>
          </a:graphic>
        </wp:inline>
      </w:drawing>
    </w:r>
  </w:p>
  <w:p w:rsidR="00FE7491" w:rsidRPr="00FE7491" w:rsidRDefault="00FE7491" w:rsidP="00FE7491">
    <w:pPr>
      <w:tabs>
        <w:tab w:val="center" w:pos="4536"/>
        <w:tab w:val="right" w:pos="9072"/>
      </w:tabs>
      <w:spacing w:after="0" w:line="240" w:lineRule="auto"/>
      <w:jc w:val="center"/>
      <w:rPr>
        <w:rFonts w:ascii="Trebuchet MS" w:eastAsia="Times New Roman" w:hAnsi="Trebuchet MS" w:cs="Times New Roman"/>
        <w:b/>
        <w:sz w:val="20"/>
        <w:szCs w:val="20"/>
        <w:lang w:val="en-US" w:eastAsia="x-none"/>
      </w:rPr>
    </w:pPr>
    <w:r w:rsidRPr="00FE7491">
      <w:rPr>
        <w:rFonts w:ascii="Trebuchet MS" w:eastAsia="Times New Roman" w:hAnsi="Trebuchet MS" w:cs="Times New Roman"/>
        <w:b/>
        <w:sz w:val="20"/>
        <w:szCs w:val="20"/>
        <w:lang w:val="en-US" w:eastAsia="x-none"/>
      </w:rPr>
      <w:t>www.interregrobg.eu</w:t>
    </w:r>
  </w:p>
  <w:p w:rsidR="00FE7491" w:rsidRPr="00FE7491" w:rsidRDefault="00FE7491" w:rsidP="00FE7491">
    <w:pPr>
      <w:tabs>
        <w:tab w:val="center" w:pos="4703"/>
        <w:tab w:val="right" w:pos="9406"/>
      </w:tabs>
      <w:spacing w:after="0" w:line="240" w:lineRule="auto"/>
      <w:jc w:val="center"/>
      <w:rPr>
        <w:rFonts w:ascii="Trebuchet MS" w:eastAsia="Calibri" w:hAnsi="Trebuchet MS" w:cs="TrebuchetMS"/>
        <w:sz w:val="16"/>
        <w:szCs w:val="16"/>
      </w:rPr>
    </w:pPr>
    <w:r w:rsidRPr="00FE7491">
      <w:rPr>
        <w:rFonts w:ascii="Trebuchet MS" w:eastAsia="Calibri" w:hAnsi="Trebuchet MS" w:cs="TrebuchetMS"/>
        <w:sz w:val="16"/>
        <w:szCs w:val="16"/>
      </w:rPr>
      <w:t>Съдържанието на този материал не представлява непременно официалната позиция на Европейския съюз.</w:t>
    </w:r>
  </w:p>
  <w:p w:rsidR="00FE7491" w:rsidRPr="00FE7491" w:rsidRDefault="00FE7491" w:rsidP="00FE7491">
    <w:pPr>
      <w:tabs>
        <w:tab w:val="center" w:pos="4703"/>
        <w:tab w:val="right" w:pos="9406"/>
      </w:tabs>
      <w:spacing w:after="0" w:line="240" w:lineRule="auto"/>
      <w:jc w:val="center"/>
      <w:rPr>
        <w:rFonts w:ascii="Trebuchet MS" w:eastAsia="Calibri" w:hAnsi="Trebuchet MS" w:cs="TrebuchetMS"/>
        <w:sz w:val="16"/>
        <w:szCs w:val="16"/>
      </w:rPr>
    </w:pPr>
  </w:p>
  <w:p w:rsidR="00FE7491" w:rsidRPr="00FE7491" w:rsidRDefault="00FE7491" w:rsidP="00FE7491">
    <w:pPr>
      <w:tabs>
        <w:tab w:val="center" w:pos="4703"/>
        <w:tab w:val="right" w:pos="9406"/>
      </w:tabs>
      <w:spacing w:after="0" w:line="240" w:lineRule="auto"/>
      <w:jc w:val="center"/>
      <w:rPr>
        <w:rFonts w:ascii="Trebuchet MS" w:eastAsia="Calibri" w:hAnsi="Trebuchet MS" w:cs="TrebuchetMS"/>
        <w:sz w:val="16"/>
        <w:szCs w:val="16"/>
      </w:rPr>
    </w:pPr>
    <w:r w:rsidRPr="00FE7491">
      <w:rPr>
        <w:rFonts w:ascii="Trebuchet MS" w:eastAsia="Calibri" w:hAnsi="Trebuchet MS" w:cs="TrebuchetMS"/>
        <w:sz w:val="16"/>
        <w:szCs w:val="16"/>
      </w:rPr>
      <w:t>Този документ е създаден в рамките на проект 16.4.2.106, код ROBG-204 „</w:t>
    </w:r>
    <w:proofErr w:type="spellStart"/>
    <w:r w:rsidRPr="00FE7491">
      <w:rPr>
        <w:rFonts w:ascii="Trebuchet MS" w:eastAsia="Calibri" w:hAnsi="Trebuchet MS" w:cs="TrebuchetMS"/>
        <w:sz w:val="16"/>
        <w:szCs w:val="16"/>
      </w:rPr>
      <w:t>FairDeal</w:t>
    </w:r>
    <w:proofErr w:type="spellEnd"/>
    <w:r w:rsidRPr="00FE7491">
      <w:rPr>
        <w:rFonts w:ascii="Trebuchet MS" w:eastAsia="Calibri" w:hAnsi="Trebuchet MS" w:cs="TrebuchetMS"/>
        <w:sz w:val="16"/>
        <w:szCs w:val="16"/>
      </w:rPr>
      <w:t xml:space="preserve"> – мрежа - платформа за бърза доставка на уникални занаятчийски продукти в района на трансграничното сътрудничество”, </w:t>
    </w:r>
    <w:proofErr w:type="spellStart"/>
    <w:r w:rsidRPr="00FE7491">
      <w:rPr>
        <w:rFonts w:ascii="Trebuchet MS" w:eastAsia="Calibri" w:hAnsi="Trebuchet MS" w:cs="TrebuchetMS"/>
        <w:sz w:val="16"/>
        <w:szCs w:val="16"/>
      </w:rPr>
      <w:t>съфинансиран</w:t>
    </w:r>
    <w:proofErr w:type="spellEnd"/>
    <w:r w:rsidRPr="00FE7491">
      <w:rPr>
        <w:rFonts w:ascii="Trebuchet MS" w:eastAsia="Calibri" w:hAnsi="Trebuchet MS" w:cs="TrebuchetMS"/>
        <w:sz w:val="16"/>
        <w:szCs w:val="16"/>
      </w:rPr>
      <w:t xml:space="preserve"> от Европейския</w:t>
    </w:r>
  </w:p>
  <w:p w:rsidR="00FE7491" w:rsidRPr="00FE7491" w:rsidRDefault="00FE7491" w:rsidP="00FE7491">
    <w:pPr>
      <w:tabs>
        <w:tab w:val="center" w:pos="4703"/>
        <w:tab w:val="right" w:pos="9406"/>
      </w:tabs>
      <w:spacing w:after="0" w:line="240" w:lineRule="auto"/>
      <w:jc w:val="center"/>
      <w:rPr>
        <w:rFonts w:ascii="Trebuchet MS" w:eastAsia="Calibri" w:hAnsi="Trebuchet MS" w:cs="TrebuchetMS"/>
        <w:sz w:val="16"/>
        <w:szCs w:val="16"/>
      </w:rPr>
    </w:pPr>
    <w:r w:rsidRPr="00FE7491">
      <w:rPr>
        <w:rFonts w:ascii="Trebuchet MS" w:eastAsia="Calibri" w:hAnsi="Trebuchet MS" w:cs="TrebuchetMS"/>
        <w:sz w:val="16"/>
        <w:szCs w:val="16"/>
      </w:rPr>
      <w:t>Съюз чрез Европейския фонд за регионално развитие в</w:t>
    </w:r>
    <w:r w:rsidRPr="00FE7491">
      <w:rPr>
        <w:rFonts w:ascii="Trebuchet MS" w:eastAsia="Calibri" w:hAnsi="Trebuchet MS" w:cs="TrebuchetMS"/>
        <w:sz w:val="16"/>
        <w:szCs w:val="16"/>
        <w:lang w:val="en-US"/>
      </w:rPr>
      <w:t xml:space="preserve"> </w:t>
    </w:r>
    <w:r w:rsidRPr="00FE7491">
      <w:rPr>
        <w:rFonts w:ascii="Trebuchet MS" w:eastAsia="Calibri" w:hAnsi="Trebuchet MS" w:cs="TrebuchetMS"/>
        <w:sz w:val="16"/>
        <w:szCs w:val="16"/>
      </w:rPr>
      <w:t xml:space="preserve">рамките на Програмата за трансгранично сътрудничество </w:t>
    </w:r>
    <w:proofErr w:type="spellStart"/>
    <w:r w:rsidRPr="00FE7491">
      <w:rPr>
        <w:rFonts w:ascii="Trebuchet MS" w:eastAsia="Calibri" w:hAnsi="Trebuchet MS" w:cs="TrebuchetMS"/>
        <w:sz w:val="16"/>
        <w:szCs w:val="16"/>
      </w:rPr>
      <w:t>Interreg</w:t>
    </w:r>
    <w:proofErr w:type="spellEnd"/>
    <w:r w:rsidRPr="00FE7491">
      <w:rPr>
        <w:rFonts w:ascii="Trebuchet MS" w:eastAsia="Calibri" w:hAnsi="Trebuchet MS" w:cs="TrebuchetMS"/>
        <w:sz w:val="16"/>
        <w:szCs w:val="16"/>
      </w:rPr>
      <w:t xml:space="preserve"> V-A Румъния-България 2014-2020.</w:t>
    </w:r>
  </w:p>
  <w:p w:rsidR="00FE7491" w:rsidRDefault="00FE7491">
    <w:pPr>
      <w:pStyle w:val="a5"/>
    </w:pPr>
  </w:p>
  <w:p w:rsidR="00FE7491" w:rsidRDefault="00FE74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A6" w:rsidRDefault="00F968A6" w:rsidP="00FE7491">
      <w:pPr>
        <w:spacing w:after="0" w:line="240" w:lineRule="auto"/>
      </w:pPr>
      <w:r>
        <w:separator/>
      </w:r>
    </w:p>
  </w:footnote>
  <w:footnote w:type="continuationSeparator" w:id="0">
    <w:p w:rsidR="00F968A6" w:rsidRDefault="00F968A6" w:rsidP="00FE7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91" w:rsidRDefault="00FE7491" w:rsidP="00FE7491">
    <w:pPr>
      <w:spacing w:after="0" w:line="240" w:lineRule="auto"/>
      <w:rPr>
        <w:rFonts w:ascii="Times New Roman" w:eastAsia="Times New Roman" w:hAnsi="Times New Roman" w:cs="Times New Roman"/>
        <w:sz w:val="24"/>
        <w:szCs w:val="24"/>
        <w:lang w:eastAsia="bg-BG"/>
      </w:rPr>
    </w:pPr>
  </w:p>
  <w:p w:rsidR="007163AC" w:rsidRPr="00FE7491" w:rsidRDefault="007163AC" w:rsidP="00FE7491">
    <w:pPr>
      <w:spacing w:after="0" w:line="240" w:lineRule="auto"/>
      <w:rPr>
        <w:rFonts w:ascii="Times New Roman" w:eastAsia="Times New Roman" w:hAnsi="Times New Roman" w:cs="Times New Roman"/>
        <w:sz w:val="24"/>
        <w:szCs w:val="24"/>
        <w:lang w:eastAsia="bg-BG"/>
      </w:rPr>
    </w:pPr>
  </w:p>
  <w:p w:rsidR="00FE7491" w:rsidRPr="00FE7491" w:rsidRDefault="00FE7491" w:rsidP="00FE7491">
    <w:pPr>
      <w:tabs>
        <w:tab w:val="center" w:pos="4320"/>
        <w:tab w:val="right" w:pos="8640"/>
      </w:tabs>
      <w:autoSpaceDE w:val="0"/>
      <w:autoSpaceDN w:val="0"/>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anchor distT="0" distB="0" distL="114300" distR="114300" simplePos="0" relativeHeight="251660288" behindDoc="1" locked="0" layoutInCell="1" allowOverlap="1" wp14:anchorId="27AED58E" wp14:editId="794362A7">
          <wp:simplePos x="0" y="0"/>
          <wp:positionH relativeFrom="column">
            <wp:posOffset>5271770</wp:posOffset>
          </wp:positionH>
          <wp:positionV relativeFrom="paragraph">
            <wp:posOffset>-85090</wp:posOffset>
          </wp:positionV>
          <wp:extent cx="611505" cy="749300"/>
          <wp:effectExtent l="0" t="0" r="0" b="0"/>
          <wp:wrapTight wrapText="bothSides">
            <wp:wrapPolygon edited="0">
              <wp:start x="0" y="0"/>
              <wp:lineTo x="0" y="20868"/>
              <wp:lineTo x="20860" y="20868"/>
              <wp:lineTo x="20860" y="0"/>
              <wp:lineTo x="0" y="0"/>
            </wp:wrapPolygon>
          </wp:wrapTight>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749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bg-BG"/>
      </w:rPr>
      <w:drawing>
        <wp:anchor distT="0" distB="0" distL="114300" distR="114300" simplePos="0" relativeHeight="251659264" behindDoc="1" locked="0" layoutInCell="1" allowOverlap="1" wp14:anchorId="292C981B" wp14:editId="2ED40BF7">
          <wp:simplePos x="0" y="0"/>
          <wp:positionH relativeFrom="column">
            <wp:posOffset>2958465</wp:posOffset>
          </wp:positionH>
          <wp:positionV relativeFrom="paragraph">
            <wp:posOffset>59690</wp:posOffset>
          </wp:positionV>
          <wp:extent cx="874395" cy="604520"/>
          <wp:effectExtent l="0" t="0" r="1905" b="5080"/>
          <wp:wrapTight wrapText="bothSides">
            <wp:wrapPolygon edited="0">
              <wp:start x="0" y="0"/>
              <wp:lineTo x="0" y="21101"/>
              <wp:lineTo x="21176" y="21101"/>
              <wp:lineTo x="21176" y="0"/>
              <wp:lineTo x="0" y="0"/>
            </wp:wrapPolygon>
          </wp:wrapTight>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439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bg-BG"/>
      </w:rPr>
      <w:drawing>
        <wp:inline distT="0" distB="0" distL="0" distR="0" wp14:anchorId="17DBD980" wp14:editId="6833C403">
          <wp:extent cx="2622550" cy="526415"/>
          <wp:effectExtent l="0" t="0" r="6350" b="698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22550" cy="526415"/>
                  </a:xfrm>
                  <a:prstGeom prst="rect">
                    <a:avLst/>
                  </a:prstGeom>
                  <a:noFill/>
                  <a:ln>
                    <a:noFill/>
                  </a:ln>
                </pic:spPr>
              </pic:pic>
            </a:graphicData>
          </a:graphic>
        </wp:inline>
      </w:drawing>
    </w:r>
    <w:r w:rsidRPr="00FE7491">
      <w:rPr>
        <w:rFonts w:ascii="Times New Roman" w:eastAsia="Times New Roman" w:hAnsi="Times New Roman" w:cs="Times New Roman"/>
        <w:noProof/>
        <w:sz w:val="24"/>
        <w:szCs w:val="24"/>
        <w:lang w:eastAsia="bg-BG"/>
      </w:rPr>
      <w:t xml:space="preserve">  </w:t>
    </w:r>
  </w:p>
  <w:p w:rsidR="00FE7491" w:rsidRPr="00FE7491" w:rsidRDefault="00FE7491" w:rsidP="00FE7491">
    <w:pPr>
      <w:tabs>
        <w:tab w:val="left" w:pos="968"/>
      </w:tabs>
      <w:spacing w:after="0" w:line="240" w:lineRule="auto"/>
      <w:rPr>
        <w:rFonts w:ascii="Times New Roman" w:eastAsia="Times New Roman" w:hAnsi="Times New Roman" w:cs="Times New Roman"/>
        <w:sz w:val="24"/>
        <w:szCs w:val="24"/>
        <w:lang w:eastAsia="bg-BG"/>
      </w:rPr>
    </w:pPr>
    <w:r w:rsidRPr="00FE7491">
      <w:rPr>
        <w:rFonts w:ascii="Times New Roman" w:eastAsia="Times New Roman" w:hAnsi="Times New Roman" w:cs="Times New Roman"/>
        <w:sz w:val="24"/>
        <w:szCs w:val="24"/>
        <w:lang w:eastAsia="bg-BG"/>
      </w:rPr>
      <w:tab/>
    </w:r>
  </w:p>
  <w:p w:rsidR="00FE7491" w:rsidRPr="00FE7491" w:rsidRDefault="00FE7491" w:rsidP="00FE7491">
    <w:pPr>
      <w:tabs>
        <w:tab w:val="center" w:pos="4536"/>
        <w:tab w:val="right" w:pos="9960"/>
      </w:tabs>
      <w:spacing w:after="0" w:line="240" w:lineRule="auto"/>
      <w:rPr>
        <w:rFonts w:ascii="Trebuchet MS" w:eastAsia="Times New Roman" w:hAnsi="Trebuchet MS" w:cs="Times New Roman"/>
        <w:b/>
        <w:bCs/>
        <w:sz w:val="16"/>
        <w:szCs w:val="16"/>
        <w:lang w:eastAsia="bg-BG"/>
      </w:rPr>
    </w:pPr>
    <w:r w:rsidRPr="00FE7491">
      <w:rPr>
        <w:rFonts w:ascii="Times New Roman" w:eastAsia="Times New Roman" w:hAnsi="Times New Roman" w:cs="Times New Roman"/>
        <w:sz w:val="24"/>
        <w:szCs w:val="24"/>
        <w:lang w:eastAsia="bg-BG"/>
      </w:rPr>
      <w:tab/>
      <w:t xml:space="preserve">       </w:t>
    </w:r>
    <w:r w:rsidRPr="00FE7491">
      <w:rPr>
        <w:rFonts w:ascii="Times New Roman" w:eastAsia="Times New Roman" w:hAnsi="Times New Roman" w:cs="Times New Roman"/>
        <w:sz w:val="24"/>
        <w:szCs w:val="24"/>
        <w:lang w:eastAsia="bg-BG"/>
      </w:rPr>
      <w:tab/>
    </w:r>
    <w:r w:rsidRPr="00FE7491">
      <w:rPr>
        <w:rFonts w:ascii="Trebuchet MS" w:eastAsia="Times New Roman" w:hAnsi="Trebuchet MS" w:cs="Times New Roman"/>
        <w:sz w:val="16"/>
        <w:szCs w:val="16"/>
        <w:lang w:eastAsia="bg-BG"/>
      </w:rPr>
      <w:t xml:space="preserve"> </w:t>
    </w:r>
    <w:r w:rsidRPr="00FE7491">
      <w:rPr>
        <w:rFonts w:ascii="Trebuchet MS" w:eastAsia="Times New Roman" w:hAnsi="Trebuchet MS" w:cs="Times New Roman"/>
        <w:b/>
        <w:bCs/>
        <w:sz w:val="16"/>
        <w:szCs w:val="16"/>
        <w:lang w:eastAsia="bg-BG"/>
      </w:rPr>
      <w:t>ОБЩИНА ВЕЛИКО ТЪРНОВО</w:t>
    </w:r>
  </w:p>
  <w:p w:rsidR="00FE7491" w:rsidRPr="00FE7491" w:rsidRDefault="00FE7491" w:rsidP="00FE7491">
    <w:pPr>
      <w:spacing w:after="0" w:line="240" w:lineRule="auto"/>
      <w:rPr>
        <w:rFonts w:ascii="Times New Roman" w:eastAsia="Times New Roman" w:hAnsi="Times New Roman" w:cs="Times New Roman"/>
        <w:sz w:val="24"/>
        <w:szCs w:val="24"/>
        <w:lang w:eastAsia="bg-BG"/>
      </w:rPr>
    </w:pPr>
  </w:p>
  <w:p w:rsidR="00FE7491" w:rsidRPr="00FE7491" w:rsidRDefault="00FE7491" w:rsidP="00FE7491">
    <w:pPr>
      <w:tabs>
        <w:tab w:val="left" w:pos="968"/>
      </w:tabs>
      <w:spacing w:after="0" w:line="240" w:lineRule="auto"/>
      <w:rPr>
        <w:rFonts w:ascii="Times New Roman" w:eastAsia="Times New Roman" w:hAnsi="Times New Roman" w:cs="Times New Roman"/>
        <w:sz w:val="24"/>
        <w:szCs w:val="24"/>
        <w:lang w:eastAsia="bg-BG"/>
      </w:rPr>
    </w:pPr>
    <w:r w:rsidRPr="00FE7491">
      <w:rPr>
        <w:rFonts w:ascii="Times New Roman" w:eastAsia="Times New Roman" w:hAnsi="Times New Roman" w:cs="Times New Roman"/>
        <w:sz w:val="24"/>
        <w:szCs w:val="24"/>
        <w:lang w:eastAsia="bg-BG"/>
      </w:rPr>
      <w:tab/>
    </w:r>
  </w:p>
  <w:p w:rsidR="00FE7491" w:rsidRDefault="00FE7491" w:rsidP="00FE7491">
    <w:pPr>
      <w:pStyle w:val="a3"/>
      <w:tabs>
        <w:tab w:val="clear" w:pos="4536"/>
        <w:tab w:val="clear" w:pos="9072"/>
        <w:tab w:val="left" w:pos="334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078"/>
    <w:multiLevelType w:val="hybridMultilevel"/>
    <w:tmpl w:val="C87828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4413F"/>
    <w:multiLevelType w:val="hybridMultilevel"/>
    <w:tmpl w:val="CC429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A1A42"/>
    <w:multiLevelType w:val="hybridMultilevel"/>
    <w:tmpl w:val="FD80A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12679"/>
    <w:multiLevelType w:val="hybridMultilevel"/>
    <w:tmpl w:val="7346CCC4"/>
    <w:lvl w:ilvl="0" w:tplc="0409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0A813B0"/>
    <w:multiLevelType w:val="hybridMultilevel"/>
    <w:tmpl w:val="695C5108"/>
    <w:lvl w:ilvl="0" w:tplc="542A3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26AD0"/>
    <w:multiLevelType w:val="hybridMultilevel"/>
    <w:tmpl w:val="D9A65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00CDC"/>
    <w:multiLevelType w:val="hybridMultilevel"/>
    <w:tmpl w:val="6520FC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B08E2"/>
    <w:multiLevelType w:val="hybridMultilevel"/>
    <w:tmpl w:val="F328C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2C47CE"/>
    <w:multiLevelType w:val="hybridMultilevel"/>
    <w:tmpl w:val="CA861A8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6F2F2524"/>
    <w:multiLevelType w:val="hybridMultilevel"/>
    <w:tmpl w:val="43D47AA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8"/>
  </w:num>
  <w:num w:numId="2">
    <w:abstractNumId w:val="9"/>
  </w:num>
  <w:num w:numId="3">
    <w:abstractNumId w:val="3"/>
  </w:num>
  <w:num w:numId="4">
    <w:abstractNumId w:val="5"/>
  </w:num>
  <w:num w:numId="5">
    <w:abstractNumId w:val="2"/>
  </w:num>
  <w:num w:numId="6">
    <w:abstractNumId w:val="4"/>
  </w:num>
  <w:num w:numId="7">
    <w:abstractNumId w:val="1"/>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31"/>
    <w:rsid w:val="000064EE"/>
    <w:rsid w:val="000166CC"/>
    <w:rsid w:val="00056916"/>
    <w:rsid w:val="000B08B5"/>
    <w:rsid w:val="000D394D"/>
    <w:rsid w:val="000E4C0E"/>
    <w:rsid w:val="00164CD4"/>
    <w:rsid w:val="00173C5D"/>
    <w:rsid w:val="001C3CB0"/>
    <w:rsid w:val="001E5E5C"/>
    <w:rsid w:val="00226B20"/>
    <w:rsid w:val="00276638"/>
    <w:rsid w:val="00307BAA"/>
    <w:rsid w:val="00391A91"/>
    <w:rsid w:val="003A5F42"/>
    <w:rsid w:val="0045629A"/>
    <w:rsid w:val="00461091"/>
    <w:rsid w:val="004C0B01"/>
    <w:rsid w:val="004E2731"/>
    <w:rsid w:val="005115B5"/>
    <w:rsid w:val="00511BBE"/>
    <w:rsid w:val="005C479E"/>
    <w:rsid w:val="006722FD"/>
    <w:rsid w:val="00696F62"/>
    <w:rsid w:val="007163AC"/>
    <w:rsid w:val="00732B46"/>
    <w:rsid w:val="0074560D"/>
    <w:rsid w:val="00867EA2"/>
    <w:rsid w:val="008D4C7E"/>
    <w:rsid w:val="008F3415"/>
    <w:rsid w:val="00905B86"/>
    <w:rsid w:val="00936FBF"/>
    <w:rsid w:val="00953AC4"/>
    <w:rsid w:val="0098006A"/>
    <w:rsid w:val="009B4C94"/>
    <w:rsid w:val="009F62AF"/>
    <w:rsid w:val="00A43789"/>
    <w:rsid w:val="00A634E8"/>
    <w:rsid w:val="00AE4454"/>
    <w:rsid w:val="00BC70EE"/>
    <w:rsid w:val="00BF5CC9"/>
    <w:rsid w:val="00C06618"/>
    <w:rsid w:val="00C10014"/>
    <w:rsid w:val="00C94347"/>
    <w:rsid w:val="00CC6D2B"/>
    <w:rsid w:val="00CD3CAD"/>
    <w:rsid w:val="00CF045E"/>
    <w:rsid w:val="00D67F3A"/>
    <w:rsid w:val="00D745EE"/>
    <w:rsid w:val="00D95101"/>
    <w:rsid w:val="00DD3418"/>
    <w:rsid w:val="00EF30A9"/>
    <w:rsid w:val="00F41833"/>
    <w:rsid w:val="00F968A6"/>
    <w:rsid w:val="00FE74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491"/>
    <w:pPr>
      <w:tabs>
        <w:tab w:val="center" w:pos="4536"/>
        <w:tab w:val="right" w:pos="9072"/>
      </w:tabs>
      <w:spacing w:after="0" w:line="240" w:lineRule="auto"/>
    </w:pPr>
  </w:style>
  <w:style w:type="character" w:customStyle="1" w:styleId="a4">
    <w:name w:val="Горен колонтитул Знак"/>
    <w:basedOn w:val="a0"/>
    <w:link w:val="a3"/>
    <w:uiPriority w:val="99"/>
    <w:rsid w:val="00FE7491"/>
  </w:style>
  <w:style w:type="paragraph" w:styleId="a5">
    <w:name w:val="footer"/>
    <w:basedOn w:val="a"/>
    <w:link w:val="a6"/>
    <w:uiPriority w:val="99"/>
    <w:unhideWhenUsed/>
    <w:rsid w:val="00FE7491"/>
    <w:pPr>
      <w:tabs>
        <w:tab w:val="center" w:pos="4536"/>
        <w:tab w:val="right" w:pos="9072"/>
      </w:tabs>
      <w:spacing w:after="0" w:line="240" w:lineRule="auto"/>
    </w:pPr>
  </w:style>
  <w:style w:type="character" w:customStyle="1" w:styleId="a6">
    <w:name w:val="Долен колонтитул Знак"/>
    <w:basedOn w:val="a0"/>
    <w:link w:val="a5"/>
    <w:uiPriority w:val="99"/>
    <w:rsid w:val="00FE7491"/>
  </w:style>
  <w:style w:type="paragraph" w:styleId="a7">
    <w:name w:val="Balloon Text"/>
    <w:basedOn w:val="a"/>
    <w:link w:val="a8"/>
    <w:uiPriority w:val="99"/>
    <w:semiHidden/>
    <w:unhideWhenUsed/>
    <w:rsid w:val="00FE749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E7491"/>
    <w:rPr>
      <w:rFonts w:ascii="Tahoma" w:hAnsi="Tahoma" w:cs="Tahoma"/>
      <w:sz w:val="16"/>
      <w:szCs w:val="16"/>
    </w:rPr>
  </w:style>
  <w:style w:type="paragraph" w:styleId="a9">
    <w:name w:val="List Paragraph"/>
    <w:basedOn w:val="a"/>
    <w:uiPriority w:val="34"/>
    <w:qFormat/>
    <w:rsid w:val="009F6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491"/>
    <w:pPr>
      <w:tabs>
        <w:tab w:val="center" w:pos="4536"/>
        <w:tab w:val="right" w:pos="9072"/>
      </w:tabs>
      <w:spacing w:after="0" w:line="240" w:lineRule="auto"/>
    </w:pPr>
  </w:style>
  <w:style w:type="character" w:customStyle="1" w:styleId="a4">
    <w:name w:val="Горен колонтитул Знак"/>
    <w:basedOn w:val="a0"/>
    <w:link w:val="a3"/>
    <w:uiPriority w:val="99"/>
    <w:rsid w:val="00FE7491"/>
  </w:style>
  <w:style w:type="paragraph" w:styleId="a5">
    <w:name w:val="footer"/>
    <w:basedOn w:val="a"/>
    <w:link w:val="a6"/>
    <w:uiPriority w:val="99"/>
    <w:unhideWhenUsed/>
    <w:rsid w:val="00FE7491"/>
    <w:pPr>
      <w:tabs>
        <w:tab w:val="center" w:pos="4536"/>
        <w:tab w:val="right" w:pos="9072"/>
      </w:tabs>
      <w:spacing w:after="0" w:line="240" w:lineRule="auto"/>
    </w:pPr>
  </w:style>
  <w:style w:type="character" w:customStyle="1" w:styleId="a6">
    <w:name w:val="Долен колонтитул Знак"/>
    <w:basedOn w:val="a0"/>
    <w:link w:val="a5"/>
    <w:uiPriority w:val="99"/>
    <w:rsid w:val="00FE7491"/>
  </w:style>
  <w:style w:type="paragraph" w:styleId="a7">
    <w:name w:val="Balloon Text"/>
    <w:basedOn w:val="a"/>
    <w:link w:val="a8"/>
    <w:uiPriority w:val="99"/>
    <w:semiHidden/>
    <w:unhideWhenUsed/>
    <w:rsid w:val="00FE749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E7491"/>
    <w:rPr>
      <w:rFonts w:ascii="Tahoma" w:hAnsi="Tahoma" w:cs="Tahoma"/>
      <w:sz w:val="16"/>
      <w:szCs w:val="16"/>
    </w:rPr>
  </w:style>
  <w:style w:type="paragraph" w:styleId="a9">
    <w:name w:val="List Paragraph"/>
    <w:basedOn w:val="a"/>
    <w:uiPriority w:val="34"/>
    <w:qFormat/>
    <w:rsid w:val="009F6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2349">
      <w:bodyDiv w:val="1"/>
      <w:marLeft w:val="0"/>
      <w:marRight w:val="0"/>
      <w:marTop w:val="0"/>
      <w:marBottom w:val="0"/>
      <w:divBdr>
        <w:top w:val="none" w:sz="0" w:space="0" w:color="auto"/>
        <w:left w:val="none" w:sz="0" w:space="0" w:color="auto"/>
        <w:bottom w:val="none" w:sz="0" w:space="0" w:color="auto"/>
        <w:right w:val="none" w:sz="0" w:space="0" w:color="auto"/>
      </w:divBdr>
    </w:div>
    <w:div w:id="1543446060">
      <w:bodyDiv w:val="1"/>
      <w:marLeft w:val="0"/>
      <w:marRight w:val="0"/>
      <w:marTop w:val="0"/>
      <w:marBottom w:val="0"/>
      <w:divBdr>
        <w:top w:val="none" w:sz="0" w:space="0" w:color="auto"/>
        <w:left w:val="none" w:sz="0" w:space="0" w:color="auto"/>
        <w:bottom w:val="none" w:sz="0" w:space="0" w:color="auto"/>
        <w:right w:val="none" w:sz="0" w:space="0" w:color="auto"/>
      </w:divBdr>
    </w:div>
    <w:div w:id="20058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regrobg.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12</Pages>
  <Words>3438</Words>
  <Characters>19598</Characters>
  <Application>Microsoft Office Word</Application>
  <DocSecurity>0</DocSecurity>
  <Lines>163</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Blagovesta Fakirova</dc:creator>
  <cp:lastModifiedBy>Blagovesta Fakirova</cp:lastModifiedBy>
  <cp:revision>24</cp:revision>
  <cp:lastPrinted>2019-01-10T09:54:00Z</cp:lastPrinted>
  <dcterms:created xsi:type="dcterms:W3CDTF">2019-01-09T08:20:00Z</dcterms:created>
  <dcterms:modified xsi:type="dcterms:W3CDTF">2019-06-06T11:09:00Z</dcterms:modified>
</cp:coreProperties>
</file>